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Kanalsanierung (Inliner) in fünf Straßen des Stadtgebietes - Umsetzung Paket 11 des Kanalsanierungskonzeptes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202609161000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Kanalsanierung mittels Schlauchrelining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