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44EFA" w14:textId="77777777" w:rsidR="00845890" w:rsidRDefault="00925D63">
      <w:pPr>
        <w:spacing w:before="720" w:after="240"/>
        <w:jc w:val="center"/>
      </w:pPr>
      <w:r>
        <w:rPr>
          <w:b/>
          <w:bCs/>
          <w:color w:val="1F4E79"/>
          <w:sz w:val="48"/>
          <w:szCs w:val="48"/>
        </w:rPr>
        <w:t>Anlage 4</w:t>
      </w:r>
    </w:p>
    <w:p w14:paraId="54C69E0B" w14:textId="77777777" w:rsidR="00845890" w:rsidRDefault="00925D63">
      <w:pPr>
        <w:spacing w:after="480"/>
        <w:jc w:val="center"/>
      </w:pPr>
      <w:r>
        <w:rPr>
          <w:color w:val="1F4E79"/>
          <w:sz w:val="32"/>
          <w:szCs w:val="32"/>
        </w:rPr>
        <w:t>IT- und Schnittstellenanforderungskatalog</w:t>
      </w:r>
    </w:p>
    <w:p w14:paraId="62A9E1F0" w14:textId="77777777" w:rsidR="00845890" w:rsidRDefault="00925D63">
      <w:r>
        <w:br w:type="page"/>
      </w:r>
    </w:p>
    <w:p w14:paraId="2A4D9B24" w14:textId="77777777" w:rsidR="00845890" w:rsidRDefault="00925D63">
      <w:pPr>
        <w:pStyle w:val="berschrift1"/>
      </w:pPr>
      <w:r>
        <w:lastRenderedPageBreak/>
        <w:t>1. Zielsetzung</w:t>
      </w:r>
    </w:p>
    <w:p w14:paraId="7E457D94" w14:textId="77777777" w:rsidR="00845890" w:rsidRDefault="00925D63">
      <w:pPr>
        <w:spacing w:before="60" w:after="60"/>
      </w:pPr>
      <w:r>
        <w:t>Ziel dieser Anlage ist die verbindliche Festlegung der technischen Mindestanforderungen an die IT-Systeme und Schnittstellen des Auftragnehmers.</w:t>
      </w:r>
    </w:p>
    <w:p w14:paraId="4AEF9E3C" w14:textId="77777777" w:rsidR="00845890" w:rsidRDefault="00925D63">
      <w:pPr>
        <w:spacing w:before="60" w:after="60"/>
      </w:pPr>
      <w:r>
        <w:t>Der Auftragnehmer hat sicherzustellen, dass sämtliche digitalen Prozesse medienbruchfrei, revisionssicher und DSGVO-konform abgebildet werden.</w:t>
      </w:r>
    </w:p>
    <w:p w14:paraId="65964D38" w14:textId="77777777" w:rsidR="00845890" w:rsidRDefault="00925D63">
      <w:pPr>
        <w:spacing w:before="60" w:after="60"/>
      </w:pPr>
      <w:r>
        <w:t>Alle als "MUSS" gekennzeichneten Anforderungen sind zwingend zu erfüllen. Die Nichterfüllung einer Mindestanforderung führt zum Ausschluss des Angebots.</w:t>
      </w:r>
    </w:p>
    <w:p w14:paraId="521D4CFC" w14:textId="77777777" w:rsidR="00845890" w:rsidRDefault="00845890">
      <w:pPr>
        <w:spacing w:before="60" w:after="60"/>
      </w:pPr>
    </w:p>
    <w:p w14:paraId="491F521D" w14:textId="77777777" w:rsidR="00845890" w:rsidRDefault="00925D63">
      <w:pPr>
        <w:pStyle w:val="berschrift1"/>
      </w:pPr>
      <w:r>
        <w:t>2. Bestehende Systemlandschaft des Auftraggebers</w:t>
      </w:r>
    </w:p>
    <w:p w14:paraId="519DF1F5" w14:textId="77777777" w:rsidR="00845890" w:rsidRDefault="00925D63">
      <w:pPr>
        <w:spacing w:before="60" w:after="60"/>
      </w:pPr>
      <w:r>
        <w:t>Der Auftragnehmer hat folgende Bestandssysteme vollständig anzubinden:</w:t>
      </w:r>
    </w:p>
    <w:p w14:paraId="33583286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Krankenhausinformationssystem (KIS): Mesalvo Clinic Center</w:t>
      </w:r>
    </w:p>
    <w:p w14:paraId="59971572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ERP-/Warenwirtschaftssystem: SAP S/4HANA oder vergleichbares ERP-System im Krankenhausumfeld</w:t>
      </w:r>
    </w:p>
    <w:p w14:paraId="141E9D4B" w14:textId="77777777" w:rsidR="00845890" w:rsidRDefault="00845890">
      <w:pPr>
        <w:spacing w:before="60" w:after="60"/>
      </w:pPr>
    </w:p>
    <w:p w14:paraId="758508C8" w14:textId="77777777" w:rsidR="00845890" w:rsidRDefault="00925D63">
      <w:pPr>
        <w:spacing w:before="60" w:after="60"/>
      </w:pPr>
      <w:r>
        <w:t>Eine parallele Systemführung ohne vollumfängliche Integration ist nicht zulässig.</w:t>
      </w:r>
    </w:p>
    <w:p w14:paraId="612FD9AB" w14:textId="77777777" w:rsidR="00845890" w:rsidRDefault="00845890">
      <w:pPr>
        <w:spacing w:before="60" w:after="60"/>
      </w:pPr>
    </w:p>
    <w:p w14:paraId="03BE71BB" w14:textId="77777777" w:rsidR="00845890" w:rsidRDefault="00925D63">
      <w:pPr>
        <w:pStyle w:val="berschrift1"/>
      </w:pPr>
      <w:r>
        <w:t>3. Funktionale Schnittstellenanforderungen</w:t>
      </w:r>
    </w:p>
    <w:p w14:paraId="3C1DC908" w14:textId="77777777" w:rsidR="00845890" w:rsidRDefault="00925D63">
      <w:pPr>
        <w:pStyle w:val="berschrift2"/>
      </w:pPr>
      <w:r>
        <w:t>3.1 Stammdatenmanagement</w:t>
      </w:r>
    </w:p>
    <w:p w14:paraId="5DB6174A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Synchronisation von Artikelstammdaten zwischen ERP-System und Logistiksystem (bidirektional)</w:t>
      </w:r>
    </w:p>
    <w:p w14:paraId="2DA8547D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Versionierung und Protokollierung von Stammdatenänderungen</w:t>
      </w:r>
    </w:p>
    <w:p w14:paraId="2DBE1AC0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Rollenbasierte Pflegeberechtigung</w:t>
      </w:r>
    </w:p>
    <w:p w14:paraId="7114FB55" w14:textId="77777777" w:rsidR="00845890" w:rsidRDefault="00845890">
      <w:pPr>
        <w:spacing w:before="60" w:after="60"/>
      </w:pPr>
    </w:p>
    <w:p w14:paraId="4CFAE5F0" w14:textId="77777777" w:rsidR="00845890" w:rsidRDefault="00925D63">
      <w:pPr>
        <w:pStyle w:val="berschrift2"/>
      </w:pPr>
      <w:r>
        <w:t>3.2 Bestell- und Dispositionsprozesse</w:t>
      </w:r>
    </w:p>
    <w:p w14:paraId="5053FDFB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Elektronische Bestellanforderung aus dem ERP-System</w:t>
      </w:r>
    </w:p>
    <w:p w14:paraId="41435F33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Automatische Übernahme in das Logistiksystem</w:t>
      </w:r>
    </w:p>
    <w:p w14:paraId="50A7F946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Rückmeldung des Bestellstatus an das ERP-System</w:t>
      </w:r>
    </w:p>
    <w:p w14:paraId="5712D2C9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Verarbeitung von Lieferavisen</w:t>
      </w:r>
    </w:p>
    <w:p w14:paraId="082D597E" w14:textId="77777777" w:rsidR="00845890" w:rsidRDefault="00845890">
      <w:pPr>
        <w:spacing w:before="60" w:after="60"/>
      </w:pPr>
    </w:p>
    <w:p w14:paraId="4ECEDC89" w14:textId="77777777" w:rsidR="00845890" w:rsidRDefault="00925D63">
      <w:pPr>
        <w:pStyle w:val="berschrift2"/>
      </w:pPr>
      <w:r>
        <w:t>3.3 Wareneingang und Buchungslogik</w:t>
      </w:r>
    </w:p>
    <w:p w14:paraId="70EF6296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Elektronische Wareneingangsbuchung</w:t>
      </w:r>
    </w:p>
    <w:p w14:paraId="2AA60722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Rückmeldung an das ERP-System in Echtzeit oder Near-Real-Time</w:t>
      </w:r>
    </w:p>
    <w:p w14:paraId="3E6C79E5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Abbildung von Teillieferungen</w:t>
      </w:r>
    </w:p>
    <w:p w14:paraId="628D1829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Dokumentation von Abweichungen</w:t>
      </w:r>
    </w:p>
    <w:p w14:paraId="59E4D228" w14:textId="77777777" w:rsidR="00845890" w:rsidRDefault="00845890">
      <w:pPr>
        <w:spacing w:before="60" w:after="60"/>
      </w:pPr>
    </w:p>
    <w:p w14:paraId="3A5F2CA3" w14:textId="77777777" w:rsidR="00845890" w:rsidRDefault="00925D63">
      <w:pPr>
        <w:pStyle w:val="berschrift2"/>
      </w:pPr>
      <w:r>
        <w:t>3.4 Kommissionierung und Stationsversorgung</w:t>
      </w:r>
    </w:p>
    <w:p w14:paraId="70403677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Digitale Erfassung von Kommissionierprozessen</w:t>
      </w:r>
    </w:p>
    <w:p w14:paraId="6A76577B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Nachverfolgbarkeit bis zur Verbrauchsstelle</w:t>
      </w:r>
    </w:p>
    <w:p w14:paraId="59070B62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Dokumentation von Fehl- oder Ersatzlieferungen</w:t>
      </w:r>
    </w:p>
    <w:p w14:paraId="7E4C988C" w14:textId="77777777" w:rsidR="00845890" w:rsidRDefault="00845890">
      <w:pPr>
        <w:spacing w:before="60" w:after="60"/>
      </w:pPr>
    </w:p>
    <w:p w14:paraId="5B852CEB" w14:textId="77777777" w:rsidR="00845890" w:rsidRDefault="00925D63">
      <w:pPr>
        <w:pStyle w:val="berschrift2"/>
      </w:pPr>
      <w:r>
        <w:lastRenderedPageBreak/>
        <w:t>3.5 Mobile Scannerloesung (Barcode / DataMatrix)</w:t>
      </w:r>
    </w:p>
    <w:p w14:paraId="1F19092B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Einsatz mobiler, handgeführter Scanngeräte für Wareneingang, Kommissionierung und Stationsversorgung</w:t>
      </w:r>
    </w:p>
    <w:p w14:paraId="1E816946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Unterstützung gängiger Barcode-Standards (z. B. EAN, GS1, DataMatrix)</w:t>
      </w:r>
    </w:p>
    <w:p w14:paraId="65B0742D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Echtzeit-Übertragung der Scan-Daten an das Logistiksystem</w:t>
      </w:r>
    </w:p>
    <w:p w14:paraId="3D65C2B5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Offline-Fähigkeit mit automatischer Synchronisation bei Wiederherstellung der Verbindung</w:t>
      </w:r>
    </w:p>
    <w:p w14:paraId="03EB63DD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Geräte- und Benutzerzuordnung im System (Nachvollziehbarkeit)</w:t>
      </w:r>
    </w:p>
    <w:p w14:paraId="7862BB0C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Dokumentierte Rückverfolgbarkeit jeder Scan-Bewegung</w:t>
      </w:r>
    </w:p>
    <w:p w14:paraId="7EAEAA2D" w14:textId="77777777" w:rsidR="00845890" w:rsidRDefault="00845890">
      <w:pPr>
        <w:spacing w:before="60" w:after="60"/>
      </w:pPr>
    </w:p>
    <w:p w14:paraId="0DC37311" w14:textId="77777777" w:rsidR="00845890" w:rsidRDefault="00925D63">
      <w:pPr>
        <w:spacing w:before="60" w:after="60"/>
      </w:pPr>
      <w:r>
        <w:t>Die mobile Scannerloesung ist integraler Bestandteil des Gesamtsystems. Eine papiergestützte oder manuelle Ersatzloesung ist nicht zulässig.</w:t>
      </w:r>
    </w:p>
    <w:p w14:paraId="1E220A40" w14:textId="77777777" w:rsidR="00845890" w:rsidRDefault="00845890">
      <w:pPr>
        <w:spacing w:before="60" w:after="60"/>
      </w:pPr>
    </w:p>
    <w:p w14:paraId="1AF00022" w14:textId="77777777" w:rsidR="00845890" w:rsidRDefault="00925D63">
      <w:pPr>
        <w:pStyle w:val="berschrift2"/>
      </w:pPr>
      <w:r>
        <w:t>3.6 Reporting und Datenexport</w:t>
      </w:r>
    </w:p>
    <w:p w14:paraId="0441EBC0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Exportfunktion für KPI-Daten</w:t>
      </w:r>
    </w:p>
    <w:p w14:paraId="6FFDDE98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Monatliche Auswertungen gemäß Leistungsbeschreibung (Ziffer 1.9)</w:t>
      </w:r>
    </w:p>
    <w:p w14:paraId="79514FBF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Bereitstellung von Rohdaten für Prüfzwecke</w:t>
      </w:r>
    </w:p>
    <w:p w14:paraId="3F6D4D32" w14:textId="77777777" w:rsidR="00845890" w:rsidRDefault="00845890">
      <w:pPr>
        <w:spacing w:before="60" w:after="60"/>
      </w:pPr>
    </w:p>
    <w:p w14:paraId="5F3745EA" w14:textId="77777777" w:rsidR="00845890" w:rsidRDefault="00925D63">
      <w:pPr>
        <w:pStyle w:val="berschrift1"/>
      </w:pPr>
      <w:r>
        <w:t>4. Technische Anforderungen</w:t>
      </w:r>
    </w:p>
    <w:p w14:paraId="6681F82C" w14:textId="77777777" w:rsidR="00845890" w:rsidRDefault="00925D63">
      <w:pPr>
        <w:pStyle w:val="berschrift2"/>
      </w:pPr>
      <w:r>
        <w:t>4.1 Architektur</w:t>
      </w:r>
    </w:p>
    <w:p w14:paraId="231AABD8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Webbasierte oder serverbasierte Lösung mit zentralem Administrationszugang</w:t>
      </w:r>
    </w:p>
    <w:p w14:paraId="513F3A9C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Mandantenfähigkeit</w:t>
      </w:r>
    </w:p>
    <w:p w14:paraId="01B854E8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Skalierbarkeit für Mengensteigerungen</w:t>
      </w:r>
    </w:p>
    <w:p w14:paraId="179E00C8" w14:textId="77777777" w:rsidR="00845890" w:rsidRDefault="00845890">
      <w:pPr>
        <w:spacing w:before="60" w:after="60"/>
      </w:pPr>
    </w:p>
    <w:p w14:paraId="2390AA7D" w14:textId="77777777" w:rsidR="00845890" w:rsidRDefault="00925D63">
      <w:pPr>
        <w:pStyle w:val="berschrift2"/>
      </w:pPr>
      <w:r>
        <w:t>4.2 Schnittstellentechnologie</w:t>
      </w:r>
    </w:p>
    <w:p w14:paraId="7FE93FDE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Nutzung standardisierter Schnittstellen (z. B. REST, SOAP, IDoc, HL7 oder vergleichbar)</w:t>
      </w:r>
    </w:p>
    <w:p w14:paraId="32442C46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Dokumentierte API-Struktur</w:t>
      </w:r>
    </w:p>
    <w:p w14:paraId="7C634062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Bereitstellung einer Testumgebung für Integrationsprüfungen</w:t>
      </w:r>
    </w:p>
    <w:p w14:paraId="06A9F055" w14:textId="77777777" w:rsidR="00845890" w:rsidRDefault="00845890">
      <w:pPr>
        <w:spacing w:before="60" w:after="60"/>
      </w:pPr>
    </w:p>
    <w:p w14:paraId="4075A2C1" w14:textId="77777777" w:rsidR="00845890" w:rsidRDefault="00925D63">
      <w:pPr>
        <w:pStyle w:val="berschrift2"/>
      </w:pPr>
      <w:r>
        <w:t>4.3 Performance</w:t>
      </w:r>
    </w:p>
    <w:p w14:paraId="7BF19097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Systemverfügbarkeit &gt;= 99 % im Jahresmittel</w:t>
      </w:r>
    </w:p>
    <w:p w14:paraId="7D44DFD2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Maximale Antwortzeit von 3 Sekunden bei Standardabfragen</w:t>
      </w:r>
    </w:p>
    <w:p w14:paraId="564B7BF1" w14:textId="77777777" w:rsidR="00845890" w:rsidRDefault="00845890">
      <w:pPr>
        <w:spacing w:before="60" w:after="60"/>
      </w:pPr>
    </w:p>
    <w:p w14:paraId="28DEA1BF" w14:textId="77777777" w:rsidR="00845890" w:rsidRDefault="00925D63">
      <w:pPr>
        <w:pStyle w:val="berschrift1"/>
      </w:pPr>
      <w:r>
        <w:t>5. Datenschutz und IT-Sicherheit</w:t>
      </w:r>
    </w:p>
    <w:p w14:paraId="7FEFE404" w14:textId="77777777" w:rsidR="00845890" w:rsidRDefault="00925D63">
      <w:pPr>
        <w:pStyle w:val="berschrift2"/>
      </w:pPr>
      <w:r>
        <w:t>5.1 Datenschutz</w:t>
      </w:r>
    </w:p>
    <w:p w14:paraId="310B602B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DSGVO-Konformität</w:t>
      </w:r>
    </w:p>
    <w:p w14:paraId="1C752F0F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Abschluss einer Auftragsverarbeitungsvereinbarung (AVV)</w:t>
      </w:r>
    </w:p>
    <w:p w14:paraId="569B1955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Speicherung personenbezogener Daten ausschließlich innerhalb der EU</w:t>
      </w:r>
    </w:p>
    <w:p w14:paraId="1727A547" w14:textId="77777777" w:rsidR="00845890" w:rsidRDefault="00845890">
      <w:pPr>
        <w:spacing w:before="60" w:after="60"/>
      </w:pPr>
    </w:p>
    <w:p w14:paraId="66FC4EA3" w14:textId="77777777" w:rsidR="00845890" w:rsidRDefault="00925D63">
      <w:pPr>
        <w:pStyle w:val="berschrift2"/>
      </w:pPr>
      <w:r>
        <w:t>5.2 Zugriffssicherheit</w:t>
      </w:r>
    </w:p>
    <w:p w14:paraId="7861A5BE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Rollen- und Berechtigungskonzept</w:t>
      </w:r>
    </w:p>
    <w:p w14:paraId="552064C1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Protokollierung von Benutzeranmeldungen</w:t>
      </w:r>
    </w:p>
    <w:p w14:paraId="56C62E55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Protokollierung von Stammdatenänderungen</w:t>
      </w:r>
    </w:p>
    <w:p w14:paraId="0BEC5424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Protokollierung administrativer Zugriffe</w:t>
      </w:r>
    </w:p>
    <w:p w14:paraId="046493B7" w14:textId="77777777" w:rsidR="00845890" w:rsidRDefault="00845890">
      <w:pPr>
        <w:spacing w:before="60" w:after="60"/>
      </w:pPr>
    </w:p>
    <w:p w14:paraId="21839485" w14:textId="77777777" w:rsidR="00845890" w:rsidRDefault="00925D63">
      <w:pPr>
        <w:pStyle w:val="berschrift2"/>
      </w:pPr>
      <w:r>
        <w:t>5.3 IT-Sicherheitsstandards</w:t>
      </w:r>
    </w:p>
    <w:p w14:paraId="4FE57F44" w14:textId="77777777" w:rsidR="00845890" w:rsidRDefault="00925D63">
      <w:pPr>
        <w:spacing w:before="60" w:after="60"/>
      </w:pPr>
      <w:r>
        <w:t>Nachweis eines etablierten Informationssicherheitskonzeptes, z. B.:</w:t>
      </w:r>
    </w:p>
    <w:p w14:paraId="32504273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ISO 27001-Zertifizierung</w:t>
      </w:r>
    </w:p>
    <w:p w14:paraId="4C11FB16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oder gleichwertiger Nachweis</w:t>
      </w:r>
    </w:p>
    <w:p w14:paraId="68DA5581" w14:textId="77777777" w:rsidR="00845890" w:rsidRDefault="00845890">
      <w:pPr>
        <w:spacing w:before="60" w:after="60"/>
      </w:pPr>
    </w:p>
    <w:p w14:paraId="1B0F1FE4" w14:textId="77777777" w:rsidR="00845890" w:rsidRDefault="00925D63">
      <w:pPr>
        <w:pStyle w:val="berschrift1"/>
      </w:pPr>
      <w:r>
        <w:t>6. Implementierung und Test</w:t>
      </w:r>
    </w:p>
    <w:p w14:paraId="2E472221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Vorlage eines technischen Implementierungskonzeptes</w:t>
      </w:r>
    </w:p>
    <w:p w14:paraId="79F51D95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Durchführung eines Integrationstests vor Go-Live</w:t>
      </w:r>
    </w:p>
    <w:p w14:paraId="4B7CD5EA" w14:textId="77777777" w:rsidR="00845890" w:rsidRDefault="00925D63">
      <w:pPr>
        <w:spacing w:before="80" w:after="80"/>
      </w:pPr>
      <w:r>
        <w:rPr>
          <w:b/>
          <w:bCs/>
          <w:color w:val="C00000"/>
        </w:rPr>
        <w:t xml:space="preserve">MUSS: </w:t>
      </w:r>
      <w:r>
        <w:t>Dokumentierte Freigabe durch den Auftraggeber</w:t>
      </w:r>
    </w:p>
    <w:p w14:paraId="0F27445B" w14:textId="77777777" w:rsidR="00845890" w:rsidRDefault="00845890">
      <w:pPr>
        <w:spacing w:before="60" w:after="60"/>
      </w:pPr>
    </w:p>
    <w:p w14:paraId="7076226F" w14:textId="77777777" w:rsidR="00845890" w:rsidRDefault="00925D63">
      <w:pPr>
        <w:pStyle w:val="berschrift1"/>
      </w:pPr>
      <w:r>
        <w:t>7. Nachweisführung</w:t>
      </w:r>
    </w:p>
    <w:p w14:paraId="7F13F22F" w14:textId="77777777" w:rsidR="00845890" w:rsidRDefault="00925D63">
      <w:pPr>
        <w:spacing w:before="60" w:after="60"/>
      </w:pPr>
      <w:r>
        <w:t>Der Bieter hat im Angebot darzustellen:</w:t>
      </w:r>
    </w:p>
    <w:p w14:paraId="3B3EEAA3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eingesetzte Softarelösung</w:t>
      </w:r>
    </w:p>
    <w:p w14:paraId="77BC48E7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Referenzprojekte mit vergleichbarer Integration</w:t>
      </w:r>
    </w:p>
    <w:p w14:paraId="0D45B005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technische Architekturübersicht</w:t>
      </w:r>
    </w:p>
    <w:p w14:paraId="457E6B16" w14:textId="77777777" w:rsidR="00845890" w:rsidRDefault="00925D63">
      <w:pPr>
        <w:pStyle w:val="Listenabsatz"/>
        <w:numPr>
          <w:ilvl w:val="0"/>
          <w:numId w:val="2"/>
        </w:numPr>
        <w:spacing w:before="40" w:after="40"/>
      </w:pPr>
      <w:r>
        <w:t>Migrations- und Teststrategie</w:t>
      </w:r>
    </w:p>
    <w:p w14:paraId="1DDEF878" w14:textId="77777777" w:rsidR="00845890" w:rsidRDefault="00845890">
      <w:pPr>
        <w:spacing w:before="60" w:after="60"/>
      </w:pPr>
    </w:p>
    <w:p w14:paraId="0DEEE665" w14:textId="77777777" w:rsidR="00845890" w:rsidRDefault="00925D63">
      <w:pPr>
        <w:pStyle w:val="berschrift1"/>
      </w:pPr>
      <w:r>
        <w:t>8. Ausschlussregel</w:t>
      </w:r>
    </w:p>
    <w:p w14:paraId="21095928" w14:textId="77777777" w:rsidR="00845890" w:rsidRDefault="00925D63">
      <w:pPr>
        <w:spacing w:before="80" w:after="80"/>
      </w:pPr>
      <w:r>
        <w:rPr>
          <w:b/>
          <w:bCs/>
          <w:color w:val="C00000"/>
        </w:rPr>
        <w:t>Ein Angebot ist auszuschließen, wenn mindestens eine als "MUSS" gekennzeichnete IT-Anforderung nicht erfüllt wird.</w:t>
      </w:r>
    </w:p>
    <w:sectPr w:rsidR="0084589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826D" w14:textId="77777777" w:rsidR="00925D63" w:rsidRDefault="00925D63">
      <w:r>
        <w:separator/>
      </w:r>
    </w:p>
  </w:endnote>
  <w:endnote w:type="continuationSeparator" w:id="0">
    <w:p w14:paraId="784EDF5F" w14:textId="77777777" w:rsidR="00925D63" w:rsidRDefault="0092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46CA" w14:textId="77777777" w:rsidR="00845890" w:rsidRDefault="00925D63">
    <w:pPr>
      <w:pBdr>
        <w:top w:val="single" w:sz="4" w:space="1" w:color="1F4E79"/>
      </w:pBdr>
      <w:jc w:val="right"/>
    </w:pPr>
    <w:r>
      <w:rPr>
        <w:color w:val="555555"/>
        <w:sz w:val="18"/>
        <w:szCs w:val="18"/>
      </w:rPr>
      <w:t xml:space="preserve">Seite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E23B5" w14:textId="77777777" w:rsidR="00925D63" w:rsidRDefault="00925D63">
      <w:r>
        <w:separator/>
      </w:r>
    </w:p>
  </w:footnote>
  <w:footnote w:type="continuationSeparator" w:id="0">
    <w:p w14:paraId="34D67761" w14:textId="77777777" w:rsidR="00925D63" w:rsidRDefault="00925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3B692" w14:textId="77777777" w:rsidR="00845890" w:rsidRDefault="00925D63">
    <w:pPr>
      <w:pBdr>
        <w:bottom w:val="single" w:sz="4" w:space="1" w:color="1F4E79"/>
      </w:pBdr>
      <w:tabs>
        <w:tab w:val="right" w:pos="9026"/>
      </w:tabs>
    </w:pPr>
    <w:r>
      <w:rPr>
        <w:color w:val="555555"/>
        <w:sz w:val="18"/>
        <w:szCs w:val="18"/>
      </w:rPr>
      <w:t>Anlage 4 – IT-Anforderungskatalog | Stadtklinik Frankenthal</w:t>
    </w:r>
    <w:r>
      <w:rPr>
        <w:color w:val="555555"/>
        <w:sz w:val="18"/>
        <w:szCs w:val="18"/>
      </w:rPr>
      <w:tab/>
      <w:t>Stadtklinik Frankenthal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144E"/>
    <w:multiLevelType w:val="hybridMultilevel"/>
    <w:tmpl w:val="40DA6286"/>
    <w:lvl w:ilvl="0" w:tplc="430EFEF4">
      <w:start w:val="1"/>
      <w:numFmt w:val="decimal"/>
      <w:lvlText w:val="%1."/>
      <w:lvlJc w:val="left"/>
      <w:pPr>
        <w:ind w:left="720" w:hanging="360"/>
      </w:pPr>
    </w:lvl>
    <w:lvl w:ilvl="1" w:tplc="8BBE6770">
      <w:numFmt w:val="decimal"/>
      <w:lvlText w:val=""/>
      <w:lvlJc w:val="left"/>
    </w:lvl>
    <w:lvl w:ilvl="2" w:tplc="B04286CE">
      <w:numFmt w:val="decimal"/>
      <w:lvlText w:val=""/>
      <w:lvlJc w:val="left"/>
    </w:lvl>
    <w:lvl w:ilvl="3" w:tplc="3280CEE2">
      <w:numFmt w:val="decimal"/>
      <w:lvlText w:val=""/>
      <w:lvlJc w:val="left"/>
    </w:lvl>
    <w:lvl w:ilvl="4" w:tplc="29C6FC36">
      <w:numFmt w:val="decimal"/>
      <w:lvlText w:val=""/>
      <w:lvlJc w:val="left"/>
    </w:lvl>
    <w:lvl w:ilvl="5" w:tplc="55D079FC">
      <w:numFmt w:val="decimal"/>
      <w:lvlText w:val=""/>
      <w:lvlJc w:val="left"/>
    </w:lvl>
    <w:lvl w:ilvl="6" w:tplc="3DF41A66">
      <w:numFmt w:val="decimal"/>
      <w:lvlText w:val=""/>
      <w:lvlJc w:val="left"/>
    </w:lvl>
    <w:lvl w:ilvl="7" w:tplc="007CF7EA">
      <w:numFmt w:val="decimal"/>
      <w:lvlText w:val=""/>
      <w:lvlJc w:val="left"/>
    </w:lvl>
    <w:lvl w:ilvl="8" w:tplc="54CED642">
      <w:numFmt w:val="decimal"/>
      <w:lvlText w:val=""/>
      <w:lvlJc w:val="left"/>
    </w:lvl>
  </w:abstractNum>
  <w:abstractNum w:abstractNumId="1" w15:restartNumberingAfterBreak="0">
    <w:nsid w:val="383A3E52"/>
    <w:multiLevelType w:val="hybridMultilevel"/>
    <w:tmpl w:val="2A7AE34C"/>
    <w:lvl w:ilvl="0" w:tplc="83CA59E8">
      <w:start w:val="1"/>
      <w:numFmt w:val="bullet"/>
      <w:lvlText w:val="–"/>
      <w:lvlJc w:val="left"/>
      <w:pPr>
        <w:ind w:left="720" w:hanging="360"/>
      </w:pPr>
    </w:lvl>
    <w:lvl w:ilvl="1" w:tplc="73727296">
      <w:numFmt w:val="decimal"/>
      <w:lvlText w:val=""/>
      <w:lvlJc w:val="left"/>
    </w:lvl>
    <w:lvl w:ilvl="2" w:tplc="84A2B6FE">
      <w:numFmt w:val="decimal"/>
      <w:lvlText w:val=""/>
      <w:lvlJc w:val="left"/>
    </w:lvl>
    <w:lvl w:ilvl="3" w:tplc="AF62E25E">
      <w:numFmt w:val="decimal"/>
      <w:lvlText w:val=""/>
      <w:lvlJc w:val="left"/>
    </w:lvl>
    <w:lvl w:ilvl="4" w:tplc="DF7078B2">
      <w:numFmt w:val="decimal"/>
      <w:lvlText w:val=""/>
      <w:lvlJc w:val="left"/>
    </w:lvl>
    <w:lvl w:ilvl="5" w:tplc="AE7098AC">
      <w:numFmt w:val="decimal"/>
      <w:lvlText w:val=""/>
      <w:lvlJc w:val="left"/>
    </w:lvl>
    <w:lvl w:ilvl="6" w:tplc="652262D8">
      <w:numFmt w:val="decimal"/>
      <w:lvlText w:val=""/>
      <w:lvlJc w:val="left"/>
    </w:lvl>
    <w:lvl w:ilvl="7" w:tplc="6B561F5A">
      <w:numFmt w:val="decimal"/>
      <w:lvlText w:val=""/>
      <w:lvlJc w:val="left"/>
    </w:lvl>
    <w:lvl w:ilvl="8" w:tplc="17D6F57E">
      <w:numFmt w:val="decimal"/>
      <w:lvlText w:val=""/>
      <w:lvlJc w:val="left"/>
    </w:lvl>
  </w:abstractNum>
  <w:abstractNum w:abstractNumId="2" w15:restartNumberingAfterBreak="0">
    <w:nsid w:val="70A65570"/>
    <w:multiLevelType w:val="hybridMultilevel"/>
    <w:tmpl w:val="05D29F7C"/>
    <w:lvl w:ilvl="0" w:tplc="EA288598">
      <w:start w:val="1"/>
      <w:numFmt w:val="bullet"/>
      <w:lvlText w:val="●"/>
      <w:lvlJc w:val="left"/>
      <w:pPr>
        <w:ind w:left="720" w:hanging="360"/>
      </w:pPr>
    </w:lvl>
    <w:lvl w:ilvl="1" w:tplc="91CCABB8">
      <w:start w:val="1"/>
      <w:numFmt w:val="bullet"/>
      <w:lvlText w:val="○"/>
      <w:lvlJc w:val="left"/>
      <w:pPr>
        <w:ind w:left="1440" w:hanging="360"/>
      </w:pPr>
    </w:lvl>
    <w:lvl w:ilvl="2" w:tplc="1ECE201A">
      <w:start w:val="1"/>
      <w:numFmt w:val="bullet"/>
      <w:lvlText w:val="■"/>
      <w:lvlJc w:val="left"/>
      <w:pPr>
        <w:ind w:left="2160" w:hanging="360"/>
      </w:pPr>
    </w:lvl>
    <w:lvl w:ilvl="3" w:tplc="D57226EA">
      <w:start w:val="1"/>
      <w:numFmt w:val="bullet"/>
      <w:lvlText w:val="●"/>
      <w:lvlJc w:val="left"/>
      <w:pPr>
        <w:ind w:left="2880" w:hanging="360"/>
      </w:pPr>
    </w:lvl>
    <w:lvl w:ilvl="4" w:tplc="367A480A">
      <w:start w:val="1"/>
      <w:numFmt w:val="bullet"/>
      <w:lvlText w:val="○"/>
      <w:lvlJc w:val="left"/>
      <w:pPr>
        <w:ind w:left="3600" w:hanging="360"/>
      </w:pPr>
    </w:lvl>
    <w:lvl w:ilvl="5" w:tplc="233626B6">
      <w:start w:val="1"/>
      <w:numFmt w:val="bullet"/>
      <w:lvlText w:val="■"/>
      <w:lvlJc w:val="left"/>
      <w:pPr>
        <w:ind w:left="4320" w:hanging="360"/>
      </w:pPr>
    </w:lvl>
    <w:lvl w:ilvl="6" w:tplc="62E8C478">
      <w:start w:val="1"/>
      <w:numFmt w:val="bullet"/>
      <w:lvlText w:val="●"/>
      <w:lvlJc w:val="left"/>
      <w:pPr>
        <w:ind w:left="5040" w:hanging="360"/>
      </w:pPr>
    </w:lvl>
    <w:lvl w:ilvl="7" w:tplc="A9A8FE6E">
      <w:start w:val="1"/>
      <w:numFmt w:val="bullet"/>
      <w:lvlText w:val="●"/>
      <w:lvlJc w:val="left"/>
      <w:pPr>
        <w:ind w:left="5760" w:hanging="360"/>
      </w:pPr>
    </w:lvl>
    <w:lvl w:ilvl="8" w:tplc="54BE6B8C">
      <w:start w:val="1"/>
      <w:numFmt w:val="bullet"/>
      <w:lvlText w:val="●"/>
      <w:lvlJc w:val="left"/>
      <w:pPr>
        <w:ind w:left="6480" w:hanging="360"/>
      </w:pPr>
    </w:lvl>
  </w:abstractNum>
  <w:num w:numId="1" w16cid:durableId="1047487683">
    <w:abstractNumId w:val="2"/>
    <w:lvlOverride w:ilvl="0">
      <w:startOverride w:val="1"/>
    </w:lvlOverride>
  </w:num>
  <w:num w:numId="2" w16cid:durableId="184747945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90"/>
    <w:rsid w:val="00044B02"/>
    <w:rsid w:val="00845890"/>
    <w:rsid w:val="009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7158"/>
  <w15:docId w15:val="{52A3EDB7-4EDA-40AA-82FB-B52A01F7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360" w:after="180"/>
      <w:outlineLvl w:val="0"/>
    </w:pPr>
    <w:rPr>
      <w:b/>
      <w:bCs/>
      <w:color w:val="1F3864"/>
      <w:sz w:val="32"/>
      <w:szCs w:val="32"/>
    </w:rPr>
  </w:style>
  <w:style w:type="paragraph" w:styleId="berschrift2">
    <w:name w:val="heading 2"/>
    <w:uiPriority w:val="9"/>
    <w:unhideWhenUsed/>
    <w:qFormat/>
    <w:pPr>
      <w:spacing w:before="240" w:after="120"/>
      <w:outlineLvl w:val="1"/>
    </w:pPr>
    <w:rPr>
      <w:b/>
      <w:bCs/>
      <w:color w:val="1F4E79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spacing w:before="180" w:after="80"/>
      <w:outlineLvl w:val="2"/>
    </w:pPr>
    <w:rPr>
      <w:b/>
      <w:bCs/>
      <w:color w:val="2E74B5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Steiger Ingmar</cp:lastModifiedBy>
  <cp:revision>2</cp:revision>
  <dcterms:created xsi:type="dcterms:W3CDTF">2026-05-13T08:24:00Z</dcterms:created>
  <dcterms:modified xsi:type="dcterms:W3CDTF">2026-05-13T08:59:00Z</dcterms:modified>
</cp:coreProperties>
</file>