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2026-061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Rahmenvertrag Markierungen 2026-2029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Rahmenvertrag Markierungen 2026-2029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