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bookmarkStart w:id="1" w:name="_GoBack"/>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2" w:name="Text3"/>
            <w:r>
              <w:rPr>
                <w:rFonts w:ascii="Arial" w:hAnsi="Arial" w:cs="Arial"/>
                <w:sz w:val="20"/>
                <w:szCs w:val="20"/>
              </w:rPr>
              <w:t>2025/11-524</w:t>
            </w:r>
            <w:bookmarkEnd w:id="2"/>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3" w:name="Text4"/>
            <w:r>
              <w:rPr>
                <w:rFonts w:ascii="Arial" w:hAnsi="Arial" w:cs="Arial"/>
                <w:sz w:val="20"/>
                <w:szCs w:val="20"/>
              </w:rPr>
              <w:t>Offenes Verfahren</w:t>
            </w:r>
            <w:bookmarkEnd w:id="3"/>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Lieferung eines Müllfahrzeuges Los 1 &amp; 2</w:t>
            </w:r>
            <w:bookmarkEnd w:id="4"/>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Lieferung eines Müllfahrzeuges Los 1 und 2</w:t>
            </w:r>
            <w:bookmarkEnd w:id="5"/>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Pr="00761E31">
              <w:t>Bewerber</w:t>
            </w:r>
            <w:bookmarkStart w:id="6" w:name="_Ref330276724"/>
            <w:r w:rsidRPr="00D23A39">
              <w:rPr>
                <w:rStyle w:val="Funotenzeichen"/>
                <w:rFonts w:cs="Arial"/>
              </w:rPr>
              <w:footnoteReference w:customMarkFollows="1" w:id="1"/>
              <w:sym w:font="Symbol" w:char="F02A"/>
            </w:r>
            <w:bookmarkEnd w:id="6"/>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7" w:name="_Ref509406722"/>
            <w:r w:rsidR="00104CB1" w:rsidRPr="00380601">
              <w:rPr>
                <w:rStyle w:val="Funotenzeichen"/>
                <w:rFonts w:cs="Arial"/>
              </w:rPr>
              <w:footnoteReference w:id="2"/>
            </w:r>
            <w:bookmarkEnd w:id="7"/>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8" w:name="OLE_LINK1"/>
            <w:bookmarkStart w:id="9"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8"/>
            <w:bookmarkEnd w:id="9"/>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0"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 xml:space="preserve">Ich bin </w:t>
            </w:r>
            <w:bookmarkEnd w:id="10"/>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3C6555">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3C6555">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Andreas Bergmann</cp:lastModifiedBy>
  <cp:lastPrinted>2012-07-02T09:24:00Z</cp:lastPrinted>
  <dcterms:modified xsi:type="dcterms:W3CDTF">2020-01-23T12:12:00Z</dcterms:modified>
  <cp:revision>4</cp:revision>
  <dc:subject>Eigenerklärung zur Eignung Liefer- und Dienstleistungen</dc:subject>
  <dc:title>Eigenerklärung zur Eignung</dc:title>
</cp:coreProperties>
</file>