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7302" w14:textId="77777777" w:rsidR="00D84AD2" w:rsidRPr="000926B2" w:rsidRDefault="00D84AD2" w:rsidP="00D84AD2">
      <w:pPr>
        <w:pStyle w:val="IntensivesZitat"/>
      </w:pPr>
      <w:r w:rsidRPr="000926B2">
        <w:t xml:space="preserve">Leistungsbeschreibung </w:t>
      </w:r>
    </w:p>
    <w:p w14:paraId="4115FB81" w14:textId="4017C9DB" w:rsidR="00D84AD2" w:rsidRPr="009F1289" w:rsidRDefault="001F42DB" w:rsidP="00D84AD2">
      <w:pPr>
        <w:pStyle w:val="berschrift4"/>
        <w:jc w:val="center"/>
        <w:rPr>
          <w:rStyle w:val="SchwacherVerweis"/>
        </w:rPr>
      </w:pPr>
      <w:r>
        <w:rPr>
          <w:rStyle w:val="SchwacherVerweis"/>
        </w:rPr>
        <w:t>Schadensregulierung im Ausland</w:t>
      </w:r>
    </w:p>
    <w:p w14:paraId="035E4D4C" w14:textId="77777777" w:rsidR="00D84AD2" w:rsidRPr="000926B2" w:rsidRDefault="00D84AD2" w:rsidP="00D84AD2">
      <w:pPr>
        <w:rPr>
          <w:rFonts w:ascii="Arial" w:hAnsi="Arial" w:cs="Arial"/>
        </w:rPr>
      </w:pPr>
    </w:p>
    <w:p w14:paraId="53C81062" w14:textId="4E373F4C" w:rsidR="00D84AD2" w:rsidRPr="000926B2" w:rsidRDefault="00D84AD2" w:rsidP="00D84AD2">
      <w:pPr>
        <w:pStyle w:val="berschrift1"/>
        <w:numPr>
          <w:ilvl w:val="0"/>
          <w:numId w:val="1"/>
        </w:numPr>
      </w:pPr>
      <w:r>
        <w:t xml:space="preserve"> </w:t>
      </w:r>
      <w:r w:rsidRPr="000926B2">
        <w:t>Allgemeines</w:t>
      </w:r>
    </w:p>
    <w:p w14:paraId="3D296D26" w14:textId="214B0735" w:rsidR="00D84AD2" w:rsidRPr="00174D4F" w:rsidRDefault="00D84AD2" w:rsidP="00D84AD2">
      <w:pPr>
        <w:pStyle w:val="berschrift2"/>
        <w:numPr>
          <w:ilvl w:val="1"/>
          <w:numId w:val="1"/>
        </w:numPr>
      </w:pPr>
      <w:r w:rsidRPr="000926B2">
        <w:t>Auftraggeber</w:t>
      </w:r>
    </w:p>
    <w:p w14:paraId="794D13B5" w14:textId="77777777" w:rsidR="00D84AD2" w:rsidRPr="000926B2" w:rsidRDefault="00D84AD2" w:rsidP="00D84AD2">
      <w:pPr>
        <w:pStyle w:val="Listenabsatz"/>
        <w:rPr>
          <w:rFonts w:ascii="Arial" w:hAnsi="Arial" w:cs="Arial"/>
        </w:rPr>
      </w:pPr>
    </w:p>
    <w:p w14:paraId="1CF9FCD8" w14:textId="77777777" w:rsidR="00D84AD2" w:rsidRPr="000926B2" w:rsidRDefault="00D84AD2" w:rsidP="00D84AD2">
      <w:pPr>
        <w:pStyle w:val="Listenabsatz"/>
        <w:rPr>
          <w:rFonts w:ascii="Arial" w:hAnsi="Arial" w:cs="Arial"/>
        </w:rPr>
      </w:pPr>
      <w:r w:rsidRPr="000926B2">
        <w:rPr>
          <w:rFonts w:ascii="Arial" w:hAnsi="Arial" w:cs="Arial"/>
        </w:rPr>
        <w:t xml:space="preserve">Die Techniker Krankenkasse (im Folgenden TK) ist mit über 12 Mio. Versicherten die größte Krankenkasse in Deutschland. Bundesweit sind ca.15.500 Beschäftigte an über 200 TK-Standorten tätig. Als gesetzliche Krankenversicherung ist die TK eine Körperschaft des öffentlichen Rechts mit Selbstverwaltung. Die Unternehmenszentrale befindet sich in Hamburg. </w:t>
      </w:r>
    </w:p>
    <w:p w14:paraId="3D65A823" w14:textId="1115E299" w:rsidR="00D84AD2" w:rsidRDefault="00D84AD2" w:rsidP="00D84AD2">
      <w:pPr>
        <w:pStyle w:val="berschrift2"/>
        <w:numPr>
          <w:ilvl w:val="1"/>
          <w:numId w:val="1"/>
        </w:numPr>
      </w:pPr>
      <w:r w:rsidRPr="00174D4F">
        <w:t>Leistungsgegenstand</w:t>
      </w:r>
      <w:r w:rsidRPr="000926B2">
        <w:t xml:space="preserve"> </w:t>
      </w:r>
    </w:p>
    <w:p w14:paraId="7FF00CFE" w14:textId="77777777" w:rsidR="00D84AD2" w:rsidRPr="000926B2" w:rsidRDefault="00D84AD2" w:rsidP="00D84AD2">
      <w:pPr>
        <w:pStyle w:val="Listenabsatz"/>
        <w:rPr>
          <w:rFonts w:ascii="Arial" w:hAnsi="Arial" w:cs="Arial"/>
        </w:rPr>
      </w:pPr>
    </w:p>
    <w:p w14:paraId="372F7B03" w14:textId="77777777" w:rsidR="00D84AD2" w:rsidRDefault="00D84AD2" w:rsidP="00D84AD2">
      <w:pPr>
        <w:pStyle w:val="Listenabsatz"/>
        <w:rPr>
          <w:rFonts w:ascii="Arial" w:hAnsi="Arial" w:cs="Arial"/>
        </w:rPr>
      </w:pPr>
      <w:r w:rsidRPr="296D8D56">
        <w:rPr>
          <w:rFonts w:ascii="Arial" w:hAnsi="Arial" w:cs="Arial"/>
        </w:rPr>
        <w:t xml:space="preserve">Die TK ist gesetzlich verpflichtet, gem. § 116 SGB X übergegangene Schadenersatzansprüche zu verfolgen. Eine Vielzahl von Schadenfällen ereignen sich im Ausland und/oder haben einen Anspruchsgegner, welcher seinen Wohnsitz im Ausland hat. </w:t>
      </w:r>
    </w:p>
    <w:p w14:paraId="338EFCFB" w14:textId="77777777" w:rsidR="00D84AD2" w:rsidRPr="000926B2" w:rsidRDefault="00D84AD2" w:rsidP="00D84AD2">
      <w:pPr>
        <w:pStyle w:val="Listenabsatz"/>
        <w:rPr>
          <w:rFonts w:ascii="Arial" w:hAnsi="Arial" w:cs="Arial"/>
        </w:rPr>
      </w:pPr>
    </w:p>
    <w:p w14:paraId="0F8BE953" w14:textId="77777777" w:rsidR="00D84AD2" w:rsidRDefault="00D84AD2" w:rsidP="00D84AD2">
      <w:pPr>
        <w:pStyle w:val="Listenabsatz"/>
        <w:rPr>
          <w:rFonts w:ascii="Arial" w:hAnsi="Arial" w:cs="Arial"/>
        </w:rPr>
      </w:pPr>
      <w:r w:rsidRPr="000926B2">
        <w:rPr>
          <w:rFonts w:ascii="Arial" w:hAnsi="Arial" w:cs="Arial"/>
        </w:rPr>
        <w:t xml:space="preserve">Der AN unterstützt die TK außerhalb der Bundesrepublik Deutschland bei der </w:t>
      </w:r>
      <w:r w:rsidRPr="00BA497A">
        <w:rPr>
          <w:rFonts w:ascii="Arial" w:hAnsi="Arial" w:cs="Arial"/>
        </w:rPr>
        <w:t>Ermittlung, Prüfung und Regressführung der internationalen Schadensregulierung und Abwicklung (gerichtlich und außergerichtlich).</w:t>
      </w:r>
      <w:r w:rsidRPr="000926B2">
        <w:rPr>
          <w:rFonts w:ascii="Arial" w:hAnsi="Arial" w:cs="Arial"/>
        </w:rPr>
        <w:t xml:space="preserve"> Die Dienstleistungen werden weltweit auf Anfrage erbracht. Das Netzwerk des Anbieters soll möglichst flächendeckend verfügbar sein, um eine effiziente Bearbeitung internationaler Fälle zu gewährleisten.</w:t>
      </w:r>
      <w:r>
        <w:rPr>
          <w:rFonts w:ascii="Arial" w:hAnsi="Arial" w:cs="Arial"/>
        </w:rPr>
        <w:t xml:space="preserve"> </w:t>
      </w:r>
    </w:p>
    <w:p w14:paraId="6972C6FF" w14:textId="77777777" w:rsidR="00D84AD2" w:rsidRPr="000926B2" w:rsidRDefault="00D84AD2" w:rsidP="00D84AD2">
      <w:pPr>
        <w:pStyle w:val="Listenabsatz"/>
        <w:rPr>
          <w:rFonts w:ascii="Arial" w:hAnsi="Arial" w:cs="Arial"/>
        </w:rPr>
      </w:pPr>
    </w:p>
    <w:p w14:paraId="700A4056" w14:textId="77777777" w:rsidR="00D84AD2" w:rsidRDefault="00D84AD2" w:rsidP="00D84AD2">
      <w:pPr>
        <w:pStyle w:val="Listenabsatz"/>
        <w:rPr>
          <w:rFonts w:ascii="Arial" w:hAnsi="Arial" w:cs="Arial"/>
        </w:rPr>
      </w:pPr>
      <w:r w:rsidRPr="000926B2">
        <w:rPr>
          <w:rFonts w:ascii="Arial" w:hAnsi="Arial" w:cs="Arial"/>
        </w:rPr>
        <w:t xml:space="preserve">Es ist geplant eine Rahmenvereinbarung über die Laufzeit von 48 Monaten abzuschließen. </w:t>
      </w:r>
    </w:p>
    <w:p w14:paraId="3CB6DC89" w14:textId="77777777" w:rsidR="00D84AD2" w:rsidRDefault="00D84AD2" w:rsidP="00D84AD2">
      <w:pPr>
        <w:pStyle w:val="Listenabsatz"/>
        <w:rPr>
          <w:rFonts w:ascii="Arial" w:hAnsi="Arial" w:cs="Arial"/>
        </w:rPr>
      </w:pPr>
    </w:p>
    <w:p w14:paraId="470A34C8" w14:textId="13C4DB07" w:rsidR="006742F4" w:rsidRPr="00851EEA" w:rsidRDefault="006742F4" w:rsidP="00D84AD2">
      <w:pPr>
        <w:pStyle w:val="Listenabsatz"/>
        <w:rPr>
          <w:rFonts w:ascii="Arial" w:hAnsi="Arial" w:cs="Arial"/>
        </w:rPr>
      </w:pPr>
      <w:r w:rsidRPr="00851EEA">
        <w:rPr>
          <w:rFonts w:ascii="Arial" w:hAnsi="Arial" w:cs="Arial"/>
        </w:rPr>
        <w:t>Im Rahmen dieser Vereinbarung ist davon auszugehen, dass die TK über einen Zeitraum von 48 Monaten Aufträge in einer Größenordnung von 200 Vorgängen vergeben wird. Maximal werden 320 Vorgänge innerhalb der Vertragslaufzeit abgerufen.</w:t>
      </w:r>
    </w:p>
    <w:p w14:paraId="60AF1AB0" w14:textId="77777777" w:rsidR="00324794" w:rsidRDefault="00324794" w:rsidP="00D84AD2">
      <w:pPr>
        <w:pStyle w:val="Listenabsatz"/>
        <w:rPr>
          <w:rStyle w:val="Kommentarzeichen"/>
        </w:rPr>
      </w:pPr>
    </w:p>
    <w:p w14:paraId="5D0A193E" w14:textId="3DE6F76E" w:rsidR="00D84AD2" w:rsidRDefault="00D84AD2" w:rsidP="00D84AD2">
      <w:pPr>
        <w:pStyle w:val="Listenabsatz"/>
        <w:rPr>
          <w:rFonts w:ascii="Arial" w:hAnsi="Arial" w:cs="Arial"/>
        </w:rPr>
      </w:pPr>
      <w:r w:rsidRPr="004D5218">
        <w:rPr>
          <w:rFonts w:ascii="Arial" w:hAnsi="Arial" w:cs="Arial"/>
        </w:rPr>
        <w:t xml:space="preserve">Die TK behält sich vor, </w:t>
      </w:r>
      <w:r w:rsidR="00270302">
        <w:rPr>
          <w:rFonts w:ascii="Arial" w:hAnsi="Arial" w:cs="Arial"/>
        </w:rPr>
        <w:t xml:space="preserve">eine Erstbearbeitung der </w:t>
      </w:r>
      <w:r w:rsidRPr="004D5218">
        <w:rPr>
          <w:rFonts w:ascii="Arial" w:hAnsi="Arial" w:cs="Arial"/>
        </w:rPr>
        <w:t xml:space="preserve">Fälle durch eigene Kapazitäten </w:t>
      </w:r>
      <w:r w:rsidR="00270302">
        <w:rPr>
          <w:rFonts w:ascii="Arial" w:hAnsi="Arial" w:cs="Arial"/>
        </w:rPr>
        <w:t>vorzunehmen.</w:t>
      </w:r>
    </w:p>
    <w:p w14:paraId="67775A8E" w14:textId="77777777" w:rsidR="00D84AD2" w:rsidRDefault="00D84AD2" w:rsidP="00D84AD2">
      <w:pPr>
        <w:pStyle w:val="Listenabsatz"/>
        <w:rPr>
          <w:rFonts w:ascii="Arial" w:hAnsi="Arial" w:cs="Arial"/>
        </w:rPr>
      </w:pPr>
    </w:p>
    <w:p w14:paraId="68D9DD2A" w14:textId="77777777" w:rsidR="00D84AD2" w:rsidRPr="000926B2" w:rsidRDefault="00D84AD2" w:rsidP="00D84AD2">
      <w:pPr>
        <w:pStyle w:val="Listenabsatz"/>
        <w:rPr>
          <w:rFonts w:ascii="Arial" w:hAnsi="Arial" w:cs="Arial"/>
        </w:rPr>
      </w:pPr>
      <w:r w:rsidRPr="000926B2">
        <w:rPr>
          <w:rFonts w:ascii="Arial" w:hAnsi="Arial" w:cs="Arial"/>
        </w:rPr>
        <w:lastRenderedPageBreak/>
        <w:t xml:space="preserve">Die </w:t>
      </w:r>
      <w:r>
        <w:rPr>
          <w:rFonts w:ascii="Arial" w:hAnsi="Arial" w:cs="Arial"/>
        </w:rPr>
        <w:t>TK</w:t>
      </w:r>
      <w:r w:rsidRPr="000926B2">
        <w:rPr>
          <w:rFonts w:ascii="Arial" w:hAnsi="Arial" w:cs="Arial"/>
        </w:rPr>
        <w:t xml:space="preserve"> kann nach freiem Ermessen die Bearbeitung von Auslandsregressen an den AN übergeben, wenn die </w:t>
      </w:r>
      <w:r>
        <w:rPr>
          <w:rFonts w:ascii="Arial" w:hAnsi="Arial" w:cs="Arial"/>
        </w:rPr>
        <w:t>TK</w:t>
      </w:r>
      <w:r w:rsidRPr="000926B2">
        <w:rPr>
          <w:rFonts w:ascii="Arial" w:hAnsi="Arial" w:cs="Arial"/>
        </w:rPr>
        <w:t xml:space="preserve"> deren Verfolgung im Ausland beabsichtigt. Dabei besteht kein Anspruch auf die Übergabe einer Mindestanzahl an Aufträgen für den AN.</w:t>
      </w:r>
    </w:p>
    <w:p w14:paraId="6EAEF137" w14:textId="1AF5F7CD" w:rsidR="00D84AD2" w:rsidRPr="00F27A5D" w:rsidRDefault="00D84AD2" w:rsidP="00D84AD2">
      <w:pPr>
        <w:pStyle w:val="berschrift1"/>
        <w:numPr>
          <w:ilvl w:val="0"/>
          <w:numId w:val="1"/>
        </w:numPr>
        <w:rPr>
          <w:rFonts w:cs="Arial"/>
        </w:rPr>
      </w:pPr>
      <w:r w:rsidRPr="00C152DC">
        <w:t>Anforderungen</w:t>
      </w:r>
      <w:r w:rsidRPr="000926B2">
        <w:t xml:space="preserve"> an die Leistungserbringung</w:t>
      </w:r>
    </w:p>
    <w:p w14:paraId="4868B082" w14:textId="77777777" w:rsidR="00D84AD2" w:rsidRDefault="00D84AD2" w:rsidP="00D84AD2">
      <w:pPr>
        <w:pStyle w:val="Listenabsatz"/>
        <w:rPr>
          <w:rFonts w:ascii="Arial" w:hAnsi="Arial" w:cs="Arial"/>
        </w:rPr>
      </w:pPr>
    </w:p>
    <w:p w14:paraId="734849DC" w14:textId="58578FA2" w:rsidR="00D84AD2" w:rsidRDefault="00D84AD2" w:rsidP="00D84AD2">
      <w:pPr>
        <w:pStyle w:val="Listenabsatz"/>
        <w:rPr>
          <w:rFonts w:ascii="Arial" w:hAnsi="Arial" w:cs="Arial"/>
        </w:rPr>
      </w:pPr>
      <w:r w:rsidRPr="000926B2">
        <w:rPr>
          <w:rFonts w:ascii="Arial" w:hAnsi="Arial" w:cs="Arial"/>
        </w:rPr>
        <w:t>Für die Durchsetzung von Schadenersatzansprüchen, die sich entweder im Ausland ereignet haben und/oder es einen Anspruchsgegner gibt, welcher seinen Wohnsitz im Ausland hat, suchen wir Unterstützung durch einen fachlich versierten Auftragnehmer (AN), welche</w:t>
      </w:r>
      <w:r w:rsidR="004C1B7A">
        <w:rPr>
          <w:rFonts w:ascii="Arial" w:hAnsi="Arial" w:cs="Arial"/>
        </w:rPr>
        <w:t>r</w:t>
      </w:r>
      <w:r w:rsidRPr="000926B2">
        <w:rPr>
          <w:rFonts w:ascii="Arial" w:hAnsi="Arial" w:cs="Arial"/>
        </w:rPr>
        <w:t xml:space="preserve"> die erforderlichen Maßnahmen vor Ort in der jeweiligen Landessprache durchführen k</w:t>
      </w:r>
      <w:r w:rsidR="002A2B39">
        <w:rPr>
          <w:rFonts w:ascii="Arial" w:hAnsi="Arial" w:cs="Arial"/>
        </w:rPr>
        <w:t>ann</w:t>
      </w:r>
      <w:r w:rsidRPr="000926B2">
        <w:rPr>
          <w:rFonts w:ascii="Arial" w:hAnsi="Arial" w:cs="Arial"/>
        </w:rPr>
        <w:t xml:space="preserve">. Unter Schadenfall versteht sich jegliche Art von Drittverschulden, die zu einem Schaden </w:t>
      </w:r>
      <w:r>
        <w:rPr>
          <w:rFonts w:ascii="Arial" w:hAnsi="Arial" w:cs="Arial"/>
        </w:rPr>
        <w:t>bei einem TK-Versicherten</w:t>
      </w:r>
      <w:r w:rsidRPr="000926B2">
        <w:rPr>
          <w:rFonts w:ascii="Arial" w:hAnsi="Arial" w:cs="Arial"/>
        </w:rPr>
        <w:t xml:space="preserve"> geführt hat (</w:t>
      </w:r>
      <w:r>
        <w:rPr>
          <w:rFonts w:ascii="Arial" w:hAnsi="Arial" w:cs="Arial"/>
        </w:rPr>
        <w:t xml:space="preserve">z.B. </w:t>
      </w:r>
      <w:r w:rsidRPr="000926B2">
        <w:rPr>
          <w:rFonts w:ascii="Arial" w:hAnsi="Arial" w:cs="Arial"/>
        </w:rPr>
        <w:t>Kf</w:t>
      </w:r>
      <w:r w:rsidR="00270302">
        <w:rPr>
          <w:rFonts w:ascii="Arial" w:hAnsi="Arial" w:cs="Arial"/>
        </w:rPr>
        <w:t>z-</w:t>
      </w:r>
      <w:r w:rsidRPr="000926B2">
        <w:rPr>
          <w:rFonts w:ascii="Arial" w:hAnsi="Arial" w:cs="Arial"/>
        </w:rPr>
        <w:t>Unfälle, Unfälle aus allgemeiner Haftpflicht,</w:t>
      </w:r>
      <w:r>
        <w:rPr>
          <w:rFonts w:ascii="Arial" w:hAnsi="Arial" w:cs="Arial"/>
        </w:rPr>
        <w:t xml:space="preserve"> vorsätzliche</w:t>
      </w:r>
      <w:r w:rsidRPr="000926B2">
        <w:rPr>
          <w:rFonts w:ascii="Arial" w:hAnsi="Arial" w:cs="Arial"/>
        </w:rPr>
        <w:t xml:space="preserve"> Körperverletzung, Behandlungsfehler, Reiseverkehr und Luftfahrtschäden etc.). </w:t>
      </w:r>
    </w:p>
    <w:p w14:paraId="37466692" w14:textId="77777777" w:rsidR="00D84AD2" w:rsidRPr="009F1289" w:rsidRDefault="00D84AD2" w:rsidP="00D84AD2">
      <w:pPr>
        <w:pStyle w:val="Listenabsatz"/>
        <w:rPr>
          <w:rFonts w:ascii="Arial" w:hAnsi="Arial" w:cs="Arial"/>
        </w:rPr>
      </w:pPr>
      <w:r w:rsidRPr="004E535F">
        <w:rPr>
          <w:rFonts w:ascii="Arial" w:hAnsi="Arial" w:cs="Arial"/>
        </w:rPr>
        <w:t xml:space="preserve">Nach Abschluss der </w:t>
      </w:r>
      <w:r>
        <w:rPr>
          <w:rFonts w:ascii="Arial" w:hAnsi="Arial" w:cs="Arial"/>
        </w:rPr>
        <w:t>Verfahren (außergerichtlich und gerichtlich)</w:t>
      </w:r>
      <w:r w:rsidRPr="004E535F">
        <w:rPr>
          <w:rFonts w:ascii="Arial" w:hAnsi="Arial" w:cs="Arial"/>
        </w:rPr>
        <w:t xml:space="preserve"> bleibt der Fall bei dem AN in Bearbeitung, bis alle ausstehenden Forderungen durch ihn beigetrieben worden sind.</w:t>
      </w:r>
    </w:p>
    <w:p w14:paraId="22D9CD60" w14:textId="77777777" w:rsidR="00D84AD2" w:rsidRDefault="00D84AD2" w:rsidP="00D84AD2">
      <w:pPr>
        <w:pStyle w:val="Listenabsatz"/>
        <w:rPr>
          <w:rFonts w:ascii="Arial" w:hAnsi="Arial" w:cs="Arial"/>
        </w:rPr>
      </w:pPr>
      <w:r w:rsidRPr="00C152DC">
        <w:rPr>
          <w:rFonts w:ascii="Arial" w:hAnsi="Arial" w:cs="Arial"/>
        </w:rPr>
        <w:t>Für die Durchführung dieser Tätigkeiten muss der AN während der gesamten Vertragslaufzeit ein großes Netzwerk an qualifizierten und erfahrenen Fachexpertinnen und Fachexperten (in Detekteien, Rechtsanwaltskanzleien und Sachverständigenbüros etc.)</w:t>
      </w:r>
      <w:r>
        <w:rPr>
          <w:rFonts w:ascii="Arial" w:hAnsi="Arial" w:cs="Arial"/>
        </w:rPr>
        <w:t xml:space="preserve"> vorhalten können. Dieses Netzwerk sollte die weltweite Regulierung von derartigen Schadenfällen ermöglichen. </w:t>
      </w:r>
    </w:p>
    <w:p w14:paraId="75F47219" w14:textId="77777777" w:rsidR="00F71CDE" w:rsidRDefault="00F71CDE" w:rsidP="00D84AD2">
      <w:pPr>
        <w:pStyle w:val="Listenabsatz"/>
        <w:rPr>
          <w:rFonts w:ascii="Arial" w:hAnsi="Arial" w:cs="Arial"/>
        </w:rPr>
      </w:pPr>
    </w:p>
    <w:p w14:paraId="6856F1BB" w14:textId="77777777" w:rsidR="00F71CDE" w:rsidRDefault="00F71CDE" w:rsidP="00F71CDE">
      <w:pPr>
        <w:pStyle w:val="Listenabsatz"/>
        <w:ind w:left="709"/>
        <w:rPr>
          <w:rFonts w:ascii="Arial" w:hAnsi="Arial" w:cs="Arial"/>
        </w:rPr>
      </w:pPr>
      <w:r>
        <w:rPr>
          <w:rFonts w:ascii="Arial" w:hAnsi="Arial" w:cs="Arial"/>
        </w:rPr>
        <w:t>Eine etwaige Interessenkollision ist zuvor zu prüfen und der TK gegenüber offen zu legen.</w:t>
      </w:r>
    </w:p>
    <w:p w14:paraId="0E18B74D" w14:textId="5C38E2C5" w:rsidR="00404D3A" w:rsidRDefault="00D84AD2" w:rsidP="00D84AD2">
      <w:pPr>
        <w:pStyle w:val="berschrift1"/>
        <w:numPr>
          <w:ilvl w:val="0"/>
          <w:numId w:val="1"/>
        </w:numPr>
      </w:pPr>
      <w:r>
        <w:t>Ausführung/Ablauf</w:t>
      </w:r>
    </w:p>
    <w:p w14:paraId="588B82F3" w14:textId="77777777" w:rsidR="00D84AD2" w:rsidRPr="00D84AD2" w:rsidRDefault="00D84AD2" w:rsidP="00D84AD2"/>
    <w:p w14:paraId="622487A9" w14:textId="77777777" w:rsidR="00D84AD2" w:rsidRDefault="00D84AD2" w:rsidP="00D84AD2">
      <w:pPr>
        <w:pStyle w:val="Listenabsatz"/>
        <w:numPr>
          <w:ilvl w:val="1"/>
          <w:numId w:val="1"/>
        </w:numPr>
        <w:rPr>
          <w:rFonts w:asciiTheme="majorHAnsi" w:eastAsiaTheme="majorEastAsia" w:hAnsiTheme="majorHAnsi" w:cstheme="majorBidi"/>
          <w:color w:val="0F4761" w:themeColor="accent1" w:themeShade="BF"/>
          <w:sz w:val="32"/>
          <w:szCs w:val="32"/>
        </w:rPr>
      </w:pPr>
      <w:r w:rsidRPr="00D84AD2">
        <w:rPr>
          <w:rFonts w:asciiTheme="majorHAnsi" w:eastAsiaTheme="majorEastAsia" w:hAnsiTheme="majorHAnsi" w:cstheme="majorBidi"/>
          <w:color w:val="0F4761" w:themeColor="accent1" w:themeShade="BF"/>
          <w:sz w:val="32"/>
          <w:szCs w:val="32"/>
        </w:rPr>
        <w:t>Beratung/Ersteinschätzung</w:t>
      </w:r>
    </w:p>
    <w:p w14:paraId="4C1C99F6" w14:textId="77777777" w:rsidR="00D84AD2" w:rsidRDefault="00D84AD2" w:rsidP="00D84AD2">
      <w:pPr>
        <w:pStyle w:val="Listenabsatz"/>
        <w:ind w:left="795"/>
        <w:rPr>
          <w:rFonts w:asciiTheme="majorHAnsi" w:eastAsiaTheme="majorEastAsia" w:hAnsiTheme="majorHAnsi" w:cstheme="majorBidi"/>
          <w:color w:val="0F4761" w:themeColor="accent1" w:themeShade="BF"/>
          <w:sz w:val="32"/>
          <w:szCs w:val="32"/>
        </w:rPr>
      </w:pPr>
    </w:p>
    <w:p w14:paraId="3B55710C" w14:textId="77777777" w:rsidR="00E33FD3" w:rsidRDefault="00E33FD3" w:rsidP="00E33FD3">
      <w:pPr>
        <w:ind w:left="708"/>
        <w:rPr>
          <w:rFonts w:ascii="Arial" w:hAnsi="Arial" w:cs="Arial"/>
        </w:rPr>
      </w:pPr>
      <w:r w:rsidRPr="004177FA">
        <w:rPr>
          <w:rFonts w:ascii="Arial" w:hAnsi="Arial" w:cs="Arial"/>
        </w:rPr>
        <w:t xml:space="preserve">Die </w:t>
      </w:r>
      <w:r>
        <w:rPr>
          <w:rFonts w:ascii="Arial" w:hAnsi="Arial" w:cs="Arial"/>
        </w:rPr>
        <w:t>Ersteinschätzung</w:t>
      </w:r>
      <w:r w:rsidRPr="004177FA">
        <w:rPr>
          <w:rFonts w:ascii="Arial" w:hAnsi="Arial" w:cs="Arial"/>
        </w:rPr>
        <w:t xml:space="preserve"> erfolgt auf Grundlage einer Schreibtischprüfung</w:t>
      </w:r>
      <w:r>
        <w:rPr>
          <w:rFonts w:ascii="Arial" w:hAnsi="Arial" w:cs="Arial"/>
        </w:rPr>
        <w:t xml:space="preserve"> und beinhaltet Folgendes:</w:t>
      </w:r>
    </w:p>
    <w:p w14:paraId="33047107" w14:textId="790BE2D6" w:rsidR="00E33FD3" w:rsidRPr="004E535F" w:rsidRDefault="00E33FD3" w:rsidP="00E33FD3">
      <w:pPr>
        <w:pStyle w:val="Listenabsatz"/>
        <w:numPr>
          <w:ilvl w:val="0"/>
          <w:numId w:val="2"/>
        </w:numPr>
        <w:rPr>
          <w:rFonts w:ascii="Arial" w:hAnsi="Arial" w:cs="Arial"/>
        </w:rPr>
      </w:pPr>
      <w:r w:rsidRPr="004E535F">
        <w:rPr>
          <w:rFonts w:ascii="Arial" w:hAnsi="Arial" w:cs="Arial"/>
          <w:u w:val="single"/>
        </w:rPr>
        <w:t>Rechtliche Erfolgsaussichten</w:t>
      </w:r>
      <w:r w:rsidRPr="004E535F">
        <w:rPr>
          <w:rFonts w:ascii="Arial" w:hAnsi="Arial" w:cs="Arial"/>
        </w:rPr>
        <w:br/>
        <w:t xml:space="preserve">Eine verbindliche </w:t>
      </w:r>
      <w:r>
        <w:rPr>
          <w:rFonts w:ascii="Arial" w:hAnsi="Arial" w:cs="Arial"/>
        </w:rPr>
        <w:t xml:space="preserve">Auskunft darüber, </w:t>
      </w:r>
      <w:r w:rsidRPr="004E535F">
        <w:rPr>
          <w:rFonts w:ascii="Arial" w:hAnsi="Arial" w:cs="Arial"/>
        </w:rPr>
        <w:t>ob nach dem jeweiligen ausländischen Recht hinreichende Erfolgsaussichten für die Durchsetzung der Ansprüche bestehen.</w:t>
      </w:r>
      <w:r>
        <w:rPr>
          <w:rFonts w:ascii="Arial" w:hAnsi="Arial" w:cs="Arial"/>
        </w:rPr>
        <w:br/>
      </w:r>
    </w:p>
    <w:p w14:paraId="4C70E1EC" w14:textId="3E4CCE6F" w:rsidR="00E33FD3" w:rsidRPr="004E535F" w:rsidRDefault="00E33FD3" w:rsidP="00E33FD3">
      <w:pPr>
        <w:pStyle w:val="Listenabsatz"/>
        <w:numPr>
          <w:ilvl w:val="0"/>
          <w:numId w:val="2"/>
        </w:numPr>
        <w:rPr>
          <w:rFonts w:ascii="Arial" w:hAnsi="Arial" w:cs="Arial"/>
        </w:rPr>
      </w:pPr>
      <w:r w:rsidRPr="004E535F">
        <w:rPr>
          <w:rFonts w:ascii="Arial" w:hAnsi="Arial" w:cs="Arial"/>
          <w:u w:val="single"/>
        </w:rPr>
        <w:t>Wirtschaftliche Einschätzung</w:t>
      </w:r>
      <w:r w:rsidRPr="004E535F">
        <w:rPr>
          <w:rFonts w:ascii="Arial" w:hAnsi="Arial" w:cs="Arial"/>
        </w:rPr>
        <w:br/>
        <w:t>Eine Bewertung der wirtschaftlichen Zweckmäßigkeit und Angemessenheit einer weiteren Rechtsverfolgung unter Berücksichtigung des Kosten-Nutzen-Verhältnisses sowie potenzieller finanzieller Risiken und Erfolgschancen.</w:t>
      </w:r>
      <w:r>
        <w:rPr>
          <w:rFonts w:ascii="Arial" w:hAnsi="Arial" w:cs="Arial"/>
        </w:rPr>
        <w:br/>
      </w:r>
    </w:p>
    <w:p w14:paraId="21980669" w14:textId="7758BF81" w:rsidR="00E33FD3" w:rsidRPr="004E535F" w:rsidRDefault="00E33FD3" w:rsidP="00E33FD3">
      <w:pPr>
        <w:pStyle w:val="Listenabsatz"/>
        <w:numPr>
          <w:ilvl w:val="0"/>
          <w:numId w:val="2"/>
        </w:numPr>
        <w:rPr>
          <w:rFonts w:ascii="Arial" w:hAnsi="Arial" w:cs="Arial"/>
        </w:rPr>
      </w:pPr>
      <w:r w:rsidRPr="004E535F">
        <w:rPr>
          <w:rFonts w:ascii="Arial" w:hAnsi="Arial" w:cs="Arial"/>
          <w:u w:val="single"/>
        </w:rPr>
        <w:t>Kostenprognose</w:t>
      </w:r>
      <w:r w:rsidRPr="004E535F">
        <w:rPr>
          <w:rFonts w:ascii="Arial" w:hAnsi="Arial" w:cs="Arial"/>
        </w:rPr>
        <w:br/>
        <w:t>Eine verbindliche Einschätzung der voraussichtlich entstehenden Kosten im Falle einer außergerichtlichen und/oder gerichtlichen Weiterverfolgung, einschließlich einer Aufschlüsselung nach den wesentlichen Kostenpositionen (z. B. Anwalts-, Gerichts-</w:t>
      </w:r>
      <w:r w:rsidR="00E46197">
        <w:rPr>
          <w:rFonts w:ascii="Arial" w:hAnsi="Arial" w:cs="Arial"/>
        </w:rPr>
        <w:t xml:space="preserve">, Ermittlungs- </w:t>
      </w:r>
      <w:r w:rsidRPr="004E535F">
        <w:rPr>
          <w:rFonts w:ascii="Arial" w:hAnsi="Arial" w:cs="Arial"/>
        </w:rPr>
        <w:t>und Übersetzungskosten), soweit dies möglich ist.</w:t>
      </w:r>
      <w:r>
        <w:rPr>
          <w:rFonts w:ascii="Arial" w:hAnsi="Arial" w:cs="Arial"/>
        </w:rPr>
        <w:br/>
      </w:r>
    </w:p>
    <w:p w14:paraId="603A9E4B" w14:textId="6113FC79" w:rsidR="00E33FD3" w:rsidRDefault="00E33FD3" w:rsidP="00E33FD3">
      <w:pPr>
        <w:pStyle w:val="Listenabsatz"/>
        <w:numPr>
          <w:ilvl w:val="0"/>
          <w:numId w:val="2"/>
        </w:numPr>
        <w:rPr>
          <w:rFonts w:ascii="Arial" w:hAnsi="Arial" w:cs="Arial"/>
        </w:rPr>
      </w:pPr>
      <w:r w:rsidRPr="00B95F5B">
        <w:rPr>
          <w:rFonts w:ascii="Arial" w:hAnsi="Arial" w:cs="Arial"/>
          <w:u w:val="single"/>
        </w:rPr>
        <w:t>Handlungsempfehlung</w:t>
      </w:r>
      <w:r w:rsidRPr="004E535F">
        <w:rPr>
          <w:rFonts w:ascii="Arial" w:hAnsi="Arial" w:cs="Arial"/>
        </w:rPr>
        <w:br/>
        <w:t>Eine Empfehlung zum weiteren Vorgehen auf Grundlage der vorgenannten rechtlichen und wirtschaftlichen Einschätzungen, einschließlich der Darstellung möglicher Handlungsoptionen und deren jeweilige</w:t>
      </w:r>
      <w:r>
        <w:rPr>
          <w:rFonts w:ascii="Arial" w:hAnsi="Arial" w:cs="Arial"/>
        </w:rPr>
        <w:t>n</w:t>
      </w:r>
      <w:r w:rsidRPr="004E535F">
        <w:rPr>
          <w:rFonts w:ascii="Arial" w:hAnsi="Arial" w:cs="Arial"/>
        </w:rPr>
        <w:t xml:space="preserve"> Konsequenzen.</w:t>
      </w:r>
      <w:r w:rsidR="00185B53">
        <w:rPr>
          <w:rFonts w:ascii="Arial" w:hAnsi="Arial" w:cs="Arial"/>
        </w:rPr>
        <w:t xml:space="preserve"> </w:t>
      </w:r>
      <w:r w:rsidR="00185B53" w:rsidRPr="00185B53">
        <w:rPr>
          <w:rFonts w:ascii="Arial" w:hAnsi="Arial" w:cs="Arial"/>
        </w:rPr>
        <w:t>Sollte aufgrund komplexer oder länderspezifischer Gegebenheiten keine</w:t>
      </w:r>
      <w:r w:rsidR="00185B53">
        <w:rPr>
          <w:rFonts w:ascii="Arial" w:hAnsi="Arial" w:cs="Arial"/>
        </w:rPr>
        <w:t xml:space="preserve"> umfassende</w:t>
      </w:r>
      <w:r w:rsidR="00185B53" w:rsidRPr="00185B53">
        <w:rPr>
          <w:rFonts w:ascii="Arial" w:hAnsi="Arial" w:cs="Arial"/>
        </w:rPr>
        <w:t xml:space="preserve"> Ersteinschätzung </w:t>
      </w:r>
      <w:r w:rsidR="00185B53">
        <w:rPr>
          <w:rFonts w:ascii="Arial" w:hAnsi="Arial" w:cs="Arial"/>
        </w:rPr>
        <w:t xml:space="preserve">durch den AN selbst </w:t>
      </w:r>
      <w:r w:rsidR="00185B53" w:rsidRPr="00185B53">
        <w:rPr>
          <w:rFonts w:ascii="Arial" w:hAnsi="Arial" w:cs="Arial"/>
        </w:rPr>
        <w:t xml:space="preserve">möglich sein, </w:t>
      </w:r>
      <w:r w:rsidR="00185B53">
        <w:rPr>
          <w:rFonts w:ascii="Arial" w:hAnsi="Arial" w:cs="Arial"/>
        </w:rPr>
        <w:t>kann dies auch in der Handlungsempfehlung abgebildet werden.</w:t>
      </w:r>
    </w:p>
    <w:p w14:paraId="18930A55" w14:textId="77777777" w:rsidR="00E33FD3" w:rsidRPr="00FD4AE2" w:rsidRDefault="00E33FD3" w:rsidP="00E33FD3">
      <w:pPr>
        <w:ind w:left="709"/>
      </w:pPr>
      <w:r w:rsidRPr="00E33FD3">
        <w:rPr>
          <w:rFonts w:ascii="Arial" w:hAnsi="Arial" w:cs="Arial"/>
        </w:rPr>
        <w:t xml:space="preserve">Die Ersteinschätzung ist mit einer Begründung an die TK ab Auftragseingang beim AN spätestens innerhalb von </w:t>
      </w:r>
      <w:r w:rsidRPr="00995AFE">
        <w:rPr>
          <w:rFonts w:ascii="Arial" w:hAnsi="Arial" w:cs="Arial"/>
        </w:rPr>
        <w:t>28 Tagen</w:t>
      </w:r>
      <w:r w:rsidRPr="00E33FD3">
        <w:rPr>
          <w:rFonts w:ascii="Arial" w:hAnsi="Arial" w:cs="Arial"/>
        </w:rPr>
        <w:t xml:space="preserve"> zu übermitteln. Die abschließende Entscheidung über das weitere Vorgehen obliegt der TK und wird dem AN schriftlich in Form einer Auftragsbestätigung übermittelt.</w:t>
      </w:r>
    </w:p>
    <w:p w14:paraId="5C0017D3" w14:textId="2BF75908" w:rsidR="00E33FD3" w:rsidRPr="00E33FD3" w:rsidRDefault="00E33FD3" w:rsidP="00E33FD3">
      <w:pPr>
        <w:ind w:left="709"/>
        <w:rPr>
          <w:rFonts w:ascii="Arial" w:hAnsi="Arial" w:cs="Arial"/>
        </w:rPr>
      </w:pPr>
      <w:r w:rsidRPr="00E33FD3">
        <w:rPr>
          <w:rFonts w:ascii="Arial" w:hAnsi="Arial" w:cs="Arial"/>
        </w:rPr>
        <w:t xml:space="preserve">Die Ersteinschätzung (negativ sowie positiv) wird mit einer </w:t>
      </w:r>
      <w:r w:rsidRPr="00324794">
        <w:rPr>
          <w:rFonts w:ascii="Arial" w:hAnsi="Arial" w:cs="Arial"/>
        </w:rPr>
        <w:t xml:space="preserve">Beratungsgebühr gemäß der Anlage </w:t>
      </w:r>
      <w:r w:rsidR="00CF4EF6">
        <w:rPr>
          <w:rFonts w:ascii="Arial" w:hAnsi="Arial" w:cs="Arial"/>
        </w:rPr>
        <w:t>Preisblatt Pos. 1</w:t>
      </w:r>
      <w:r w:rsidR="00CF4EF6" w:rsidRPr="00E33FD3">
        <w:rPr>
          <w:rFonts w:ascii="Arial" w:hAnsi="Arial" w:cs="Arial"/>
        </w:rPr>
        <w:t xml:space="preserve"> </w:t>
      </w:r>
      <w:r w:rsidRPr="00E33FD3">
        <w:rPr>
          <w:rFonts w:ascii="Arial" w:hAnsi="Arial" w:cs="Arial"/>
        </w:rPr>
        <w:t xml:space="preserve">abgerechnet. </w:t>
      </w:r>
    </w:p>
    <w:p w14:paraId="3E6E164F" w14:textId="77777777" w:rsidR="00E33FD3" w:rsidRDefault="00E33FD3" w:rsidP="00E33FD3">
      <w:pPr>
        <w:pStyle w:val="Listenabsatz"/>
        <w:rPr>
          <w:rFonts w:ascii="Arial" w:hAnsi="Arial" w:cs="Arial"/>
        </w:rPr>
      </w:pPr>
    </w:p>
    <w:p w14:paraId="7D877136" w14:textId="44264C7B" w:rsidR="00E33FD3" w:rsidRPr="00E33FD3" w:rsidRDefault="00E33FD3" w:rsidP="00F322D0">
      <w:pPr>
        <w:pStyle w:val="berschrift2"/>
        <w:numPr>
          <w:ilvl w:val="1"/>
          <w:numId w:val="1"/>
        </w:numPr>
      </w:pPr>
      <w:r>
        <w:t>Fallabgaben</w:t>
      </w:r>
    </w:p>
    <w:p w14:paraId="13B777DD" w14:textId="58F60F11" w:rsidR="00E33FD3" w:rsidRDefault="00E33FD3" w:rsidP="00E33FD3">
      <w:pPr>
        <w:pStyle w:val="Listenabsatz"/>
        <w:ind w:left="709"/>
        <w:rPr>
          <w:rFonts w:ascii="Arial" w:hAnsi="Arial" w:cs="Arial"/>
        </w:rPr>
      </w:pPr>
      <w:r w:rsidRPr="00D84AD2">
        <w:rPr>
          <w:rFonts w:ascii="Arial" w:hAnsi="Arial" w:cs="Arial"/>
        </w:rPr>
        <w:t xml:space="preserve">Die Fallabgaben sollen wie nachstehend beschrieben </w:t>
      </w:r>
      <w:r w:rsidRPr="00324794">
        <w:rPr>
          <w:rFonts w:ascii="Arial" w:hAnsi="Arial" w:cs="Arial"/>
        </w:rPr>
        <w:t>(die Aufzählung ist nicht abschließend - das genaue Verfahren kann im Rahmen des Kick-off-Workshops detailliert zwischen TK und AN abgestimmt werden)</w:t>
      </w:r>
      <w:r w:rsidRPr="00D84AD2">
        <w:rPr>
          <w:rFonts w:ascii="Arial" w:hAnsi="Arial" w:cs="Arial"/>
        </w:rPr>
        <w:t xml:space="preserve"> ablaufen.</w:t>
      </w:r>
    </w:p>
    <w:p w14:paraId="007E21D2" w14:textId="77777777" w:rsidR="00E33FD3" w:rsidRDefault="00E33FD3" w:rsidP="00E33FD3">
      <w:pPr>
        <w:pStyle w:val="Listenabsatz"/>
        <w:ind w:left="405"/>
        <w:rPr>
          <w:rFonts w:ascii="Arial" w:hAnsi="Arial" w:cs="Arial"/>
          <w:highlight w:val="yellow"/>
        </w:rPr>
      </w:pPr>
    </w:p>
    <w:p w14:paraId="6DEEE368" w14:textId="7F51D7C6" w:rsidR="00E33FD3" w:rsidRDefault="00E33FD3" w:rsidP="00995AFE">
      <w:pPr>
        <w:pStyle w:val="Listenabsatz"/>
        <w:ind w:left="709"/>
        <w:rPr>
          <w:rFonts w:ascii="Arial" w:hAnsi="Arial" w:cs="Arial"/>
        </w:rPr>
      </w:pPr>
      <w:r w:rsidRPr="00D84AD2">
        <w:rPr>
          <w:rFonts w:ascii="Arial" w:hAnsi="Arial" w:cs="Arial"/>
        </w:rPr>
        <w:t>Die für die Fall</w:t>
      </w:r>
      <w:r w:rsidR="003B64B6">
        <w:rPr>
          <w:rFonts w:ascii="Arial" w:hAnsi="Arial" w:cs="Arial"/>
        </w:rPr>
        <w:t>ab</w:t>
      </w:r>
      <w:r w:rsidRPr="00D84AD2">
        <w:rPr>
          <w:rFonts w:ascii="Arial" w:hAnsi="Arial" w:cs="Arial"/>
        </w:rPr>
        <w:t xml:space="preserve">gabe notwendigen Unterlagen werden mit einem </w:t>
      </w:r>
      <w:r w:rsidRPr="00F322D0">
        <w:rPr>
          <w:rFonts w:ascii="Arial" w:hAnsi="Arial" w:cs="Arial"/>
        </w:rPr>
        <w:t>Auftragsschreiben übermittelt und enthalten</w:t>
      </w:r>
      <w:r w:rsidR="004C1B7A">
        <w:rPr>
          <w:rFonts w:ascii="Arial" w:hAnsi="Arial" w:cs="Arial"/>
        </w:rPr>
        <w:t>,</w:t>
      </w:r>
      <w:r w:rsidRPr="00F322D0">
        <w:rPr>
          <w:rFonts w:ascii="Arial" w:hAnsi="Arial" w:cs="Arial"/>
        </w:rPr>
        <w:t xml:space="preserve"> </w:t>
      </w:r>
      <w:r w:rsidR="004C1B7A">
        <w:rPr>
          <w:rFonts w:ascii="Arial" w:hAnsi="Arial" w:cs="Arial"/>
        </w:rPr>
        <w:t xml:space="preserve">soweit bekannt, </w:t>
      </w:r>
      <w:r w:rsidRPr="00F322D0">
        <w:rPr>
          <w:rFonts w:ascii="Arial" w:hAnsi="Arial" w:cs="Arial"/>
        </w:rPr>
        <w:t xml:space="preserve">folgende Daten: Name, Vorname, Anschrift </w:t>
      </w:r>
      <w:r w:rsidR="00F322D0" w:rsidRPr="00F322D0">
        <w:rPr>
          <w:rFonts w:ascii="Arial" w:hAnsi="Arial" w:cs="Arial"/>
        </w:rPr>
        <w:t>des</w:t>
      </w:r>
      <w:r w:rsidRPr="00F322D0">
        <w:rPr>
          <w:rFonts w:ascii="Arial" w:hAnsi="Arial" w:cs="Arial"/>
        </w:rPr>
        <w:t xml:space="preserve"> TK-Versicherten</w:t>
      </w:r>
      <w:r w:rsidR="00F322D0">
        <w:rPr>
          <w:rFonts w:ascii="Arial" w:hAnsi="Arial" w:cs="Arial"/>
        </w:rPr>
        <w:t>;</w:t>
      </w:r>
      <w:r w:rsidR="00F322D0" w:rsidRPr="00F322D0">
        <w:rPr>
          <w:rFonts w:ascii="Arial" w:hAnsi="Arial" w:cs="Arial"/>
        </w:rPr>
        <w:t xml:space="preserve"> Name, Vorname, Anschrift </w:t>
      </w:r>
      <w:r w:rsidR="00F322D0">
        <w:rPr>
          <w:rFonts w:ascii="Arial" w:hAnsi="Arial" w:cs="Arial"/>
        </w:rPr>
        <w:t>Beteiligter/Schädiger</w:t>
      </w:r>
      <w:r w:rsidRPr="00F322D0">
        <w:rPr>
          <w:rFonts w:ascii="Arial" w:hAnsi="Arial" w:cs="Arial"/>
        </w:rPr>
        <w:t>, Unfallschilderung</w:t>
      </w:r>
      <w:r w:rsidR="00F322D0">
        <w:rPr>
          <w:rFonts w:ascii="Arial" w:hAnsi="Arial" w:cs="Arial"/>
        </w:rPr>
        <w:t xml:space="preserve"> und Unfalldatum.</w:t>
      </w:r>
    </w:p>
    <w:p w14:paraId="4658F0DA" w14:textId="77777777" w:rsidR="00995AFE" w:rsidRPr="00995AFE" w:rsidRDefault="00995AFE" w:rsidP="00995AFE">
      <w:pPr>
        <w:pStyle w:val="Listenabsatz"/>
        <w:ind w:left="709"/>
        <w:rPr>
          <w:rFonts w:ascii="Arial" w:hAnsi="Arial" w:cs="Arial"/>
        </w:rPr>
      </w:pPr>
    </w:p>
    <w:p w14:paraId="22ACBC4A" w14:textId="4D9D772C" w:rsidR="00F71CDE" w:rsidRPr="00A17990" w:rsidRDefault="271535DB" w:rsidP="271535DB">
      <w:pPr>
        <w:pStyle w:val="Listenabsatz"/>
        <w:ind w:left="709"/>
        <w:rPr>
          <w:rFonts w:ascii="Arial" w:hAnsi="Arial" w:cs="Arial"/>
        </w:rPr>
      </w:pPr>
      <w:r w:rsidRPr="271535DB">
        <w:rPr>
          <w:rFonts w:ascii="Arial" w:hAnsi="Arial" w:cs="Arial"/>
        </w:rPr>
        <w:t xml:space="preserve">Die Beurteilung und Bearbeitung der von der TK übertragenen Regressfälle erfolgt in eigener Verantwortung des AN, wobei den Weisungen der TK, die im Zusammenhang mit der Durchführung der zu erledigenden Aufgaben erteilt werden, Folge geleistet werden muss. </w:t>
      </w:r>
      <w:r w:rsidR="007F4C69" w:rsidRPr="00A17990">
        <w:rPr>
          <w:rFonts w:ascii="Arial" w:hAnsi="Arial" w:cs="Arial"/>
        </w:rPr>
        <w:t xml:space="preserve">Die Kontaktierung von </w:t>
      </w:r>
      <w:proofErr w:type="gramStart"/>
      <w:r w:rsidR="007F4C69" w:rsidRPr="00A17990">
        <w:rPr>
          <w:rFonts w:ascii="Arial" w:hAnsi="Arial" w:cs="Arial"/>
        </w:rPr>
        <w:t>TK</w:t>
      </w:r>
      <w:r w:rsidRPr="00A17990">
        <w:rPr>
          <w:rFonts w:ascii="Arial" w:hAnsi="Arial" w:cs="Arial"/>
        </w:rPr>
        <w:t xml:space="preserve"> Versicherten</w:t>
      </w:r>
      <w:proofErr w:type="gramEnd"/>
      <w:r w:rsidR="005564D2" w:rsidRPr="00A17990">
        <w:rPr>
          <w:rFonts w:ascii="Arial" w:hAnsi="Arial" w:cs="Arial"/>
        </w:rPr>
        <w:t xml:space="preserve"> </w:t>
      </w:r>
      <w:r w:rsidRPr="00A17990">
        <w:rPr>
          <w:rFonts w:ascii="Arial" w:hAnsi="Arial" w:cs="Arial"/>
        </w:rPr>
        <w:t>erfolg</w:t>
      </w:r>
      <w:r w:rsidR="007F4C69" w:rsidRPr="00A17990">
        <w:rPr>
          <w:rFonts w:ascii="Arial" w:hAnsi="Arial" w:cs="Arial"/>
        </w:rPr>
        <w:t>t</w:t>
      </w:r>
      <w:r w:rsidRPr="00A17990">
        <w:rPr>
          <w:rFonts w:ascii="Arial" w:hAnsi="Arial" w:cs="Arial"/>
        </w:rPr>
        <w:t xml:space="preserve"> </w:t>
      </w:r>
      <w:r w:rsidR="005564D2" w:rsidRPr="00A17990">
        <w:rPr>
          <w:rFonts w:ascii="Arial" w:hAnsi="Arial" w:cs="Arial"/>
        </w:rPr>
        <w:t xml:space="preserve">ausschließlich </w:t>
      </w:r>
      <w:r w:rsidRPr="00A17990">
        <w:rPr>
          <w:rFonts w:ascii="Arial" w:hAnsi="Arial" w:cs="Arial"/>
        </w:rPr>
        <w:t>über die TK.</w:t>
      </w:r>
    </w:p>
    <w:p w14:paraId="3C7AA84A" w14:textId="77777777" w:rsidR="00E33FD3" w:rsidRDefault="00E33FD3" w:rsidP="00E33FD3">
      <w:pPr>
        <w:pStyle w:val="Listenabsatz"/>
        <w:rPr>
          <w:rFonts w:ascii="Arial" w:hAnsi="Arial" w:cs="Arial"/>
          <w:u w:val="single"/>
        </w:rPr>
      </w:pPr>
    </w:p>
    <w:p w14:paraId="3F8E4476" w14:textId="454F038B" w:rsidR="00E33FD3" w:rsidRPr="00F322D0" w:rsidRDefault="00E33FD3" w:rsidP="00F322D0">
      <w:pPr>
        <w:pStyle w:val="berschrift2"/>
        <w:numPr>
          <w:ilvl w:val="1"/>
          <w:numId w:val="1"/>
        </w:numPr>
      </w:pPr>
      <w:r w:rsidRPr="00F322D0">
        <w:t>Ermittlung</w:t>
      </w:r>
      <w:r w:rsidR="00F322D0">
        <w:t>stätigkeiten</w:t>
      </w:r>
    </w:p>
    <w:p w14:paraId="6D1521DA" w14:textId="681EDB0E" w:rsidR="00D84AD2" w:rsidRPr="00E46197" w:rsidRDefault="00E33FD3" w:rsidP="00E46197">
      <w:pPr>
        <w:pStyle w:val="Listenabsatz"/>
        <w:rPr>
          <w:rFonts w:ascii="Arial" w:hAnsi="Arial" w:cs="Arial"/>
        </w:rPr>
      </w:pPr>
      <w:r w:rsidRPr="00D84AD2">
        <w:rPr>
          <w:rFonts w:ascii="Arial" w:hAnsi="Arial" w:cs="Arial"/>
        </w:rPr>
        <w:t xml:space="preserve">Der AN </w:t>
      </w:r>
      <w:r w:rsidR="00F322D0">
        <w:rPr>
          <w:rFonts w:ascii="Arial" w:hAnsi="Arial" w:cs="Arial"/>
        </w:rPr>
        <w:t>kann</w:t>
      </w:r>
      <w:r w:rsidR="00943C5D">
        <w:rPr>
          <w:rFonts w:ascii="Arial" w:hAnsi="Arial" w:cs="Arial"/>
        </w:rPr>
        <w:t>,</w:t>
      </w:r>
      <w:r w:rsidR="00F322D0">
        <w:rPr>
          <w:rFonts w:ascii="Arial" w:hAnsi="Arial" w:cs="Arial"/>
        </w:rPr>
        <w:t xml:space="preserve"> nach vorheriger Rücksprache mit der TK, </w:t>
      </w:r>
      <w:r w:rsidRPr="00D84AD2">
        <w:rPr>
          <w:rFonts w:ascii="Arial" w:hAnsi="Arial" w:cs="Arial"/>
        </w:rPr>
        <w:t>zur Beurteilung der Sach- und Rechtslage ggf. Ermittlungen vor Ort durchführen oder durchführen lassen</w:t>
      </w:r>
      <w:r w:rsidR="00943C5D">
        <w:rPr>
          <w:rFonts w:ascii="Arial" w:hAnsi="Arial" w:cs="Arial"/>
        </w:rPr>
        <w:t xml:space="preserve"> (</w:t>
      </w:r>
      <w:r w:rsidRPr="00D84AD2">
        <w:rPr>
          <w:rFonts w:ascii="Arial" w:hAnsi="Arial" w:cs="Arial"/>
        </w:rPr>
        <w:t>z.B. Einsichtnahme in die polizeiliche oder staatsanwaltschaftliche Ermittlungsakte, Prüfung der Bonität von Privatschädigern</w:t>
      </w:r>
      <w:r w:rsidR="00943C5D">
        <w:rPr>
          <w:rFonts w:ascii="Arial" w:hAnsi="Arial" w:cs="Arial"/>
        </w:rPr>
        <w:t>).</w:t>
      </w:r>
    </w:p>
    <w:p w14:paraId="6A64015E" w14:textId="77777777" w:rsidR="00D84AD2" w:rsidRPr="00D84AD2" w:rsidRDefault="00D84AD2" w:rsidP="00D84AD2">
      <w:pPr>
        <w:pStyle w:val="Listenabsatz"/>
        <w:ind w:left="795"/>
        <w:rPr>
          <w:rFonts w:asciiTheme="majorHAnsi" w:eastAsiaTheme="majorEastAsia" w:hAnsiTheme="majorHAnsi" w:cstheme="majorBidi"/>
          <w:color w:val="0F4761" w:themeColor="accent1" w:themeShade="BF"/>
          <w:sz w:val="32"/>
          <w:szCs w:val="32"/>
        </w:rPr>
      </w:pPr>
    </w:p>
    <w:p w14:paraId="0652EBE0" w14:textId="77777777" w:rsidR="00D84AD2" w:rsidRDefault="00D84AD2" w:rsidP="00D84AD2">
      <w:pPr>
        <w:pStyle w:val="Listenabsatz"/>
        <w:numPr>
          <w:ilvl w:val="1"/>
          <w:numId w:val="1"/>
        </w:numPr>
        <w:rPr>
          <w:rFonts w:asciiTheme="majorHAnsi" w:eastAsiaTheme="majorEastAsia" w:hAnsiTheme="majorHAnsi" w:cstheme="majorBidi"/>
          <w:color w:val="0F4761" w:themeColor="accent1" w:themeShade="BF"/>
          <w:sz w:val="32"/>
          <w:szCs w:val="32"/>
        </w:rPr>
      </w:pPr>
      <w:r w:rsidRPr="00D84AD2">
        <w:rPr>
          <w:rFonts w:asciiTheme="majorHAnsi" w:eastAsiaTheme="majorEastAsia" w:hAnsiTheme="majorHAnsi" w:cstheme="majorBidi"/>
          <w:color w:val="0F4761" w:themeColor="accent1" w:themeShade="BF"/>
          <w:sz w:val="32"/>
          <w:szCs w:val="32"/>
        </w:rPr>
        <w:t>Außergerichtliches Verfahren</w:t>
      </w:r>
    </w:p>
    <w:p w14:paraId="1A951313" w14:textId="77777777" w:rsidR="00FD4AE2" w:rsidRDefault="00FD4AE2" w:rsidP="00FD4AE2">
      <w:pPr>
        <w:pStyle w:val="Listenabsatz"/>
        <w:ind w:left="795"/>
        <w:rPr>
          <w:rFonts w:asciiTheme="majorHAnsi" w:eastAsiaTheme="majorEastAsia" w:hAnsiTheme="majorHAnsi" w:cstheme="majorBidi"/>
          <w:color w:val="0F4761" w:themeColor="accent1" w:themeShade="BF"/>
          <w:sz w:val="32"/>
          <w:szCs w:val="32"/>
        </w:rPr>
      </w:pPr>
    </w:p>
    <w:p w14:paraId="0955D671" w14:textId="4FC35CDA" w:rsidR="00FD4AE2" w:rsidRDefault="00FD4AE2" w:rsidP="00F71CDE">
      <w:pPr>
        <w:pStyle w:val="Listenabsatz"/>
        <w:ind w:left="709"/>
        <w:rPr>
          <w:rFonts w:ascii="Arial" w:hAnsi="Arial" w:cs="Arial"/>
        </w:rPr>
      </w:pPr>
      <w:r w:rsidRPr="00FD4AE2">
        <w:rPr>
          <w:rFonts w:ascii="Arial" w:hAnsi="Arial" w:cs="Arial"/>
        </w:rPr>
        <w:t xml:space="preserve">Für den Fall positiv prognostizierter Erfolgsaussichten führt der AN auf entsprechende Anweisung der TK die außergerichtliche Regulierung in eigener Verantwortung durch, </w:t>
      </w:r>
      <w:r w:rsidRPr="00F71CDE">
        <w:rPr>
          <w:rFonts w:ascii="Arial" w:hAnsi="Arial" w:cs="Arial"/>
        </w:rPr>
        <w:t>i</w:t>
      </w:r>
      <w:r w:rsidRPr="00FD4AE2">
        <w:rPr>
          <w:rFonts w:ascii="Arial" w:hAnsi="Arial" w:cs="Arial"/>
        </w:rPr>
        <w:t xml:space="preserve">nformiert regelmäßig </w:t>
      </w:r>
      <w:r w:rsidR="00943C5D">
        <w:rPr>
          <w:rFonts w:ascii="Arial" w:hAnsi="Arial" w:cs="Arial"/>
        </w:rPr>
        <w:t xml:space="preserve">(mindestens 1x im Quartal) </w:t>
      </w:r>
      <w:r w:rsidRPr="00FD4AE2">
        <w:rPr>
          <w:rFonts w:ascii="Arial" w:hAnsi="Arial" w:cs="Arial"/>
        </w:rPr>
        <w:t xml:space="preserve">über </w:t>
      </w:r>
      <w:r w:rsidRPr="00943C5D">
        <w:rPr>
          <w:rFonts w:ascii="Arial" w:hAnsi="Arial" w:cs="Arial"/>
        </w:rPr>
        <w:t>die jeweils aktuelle</w:t>
      </w:r>
      <w:r w:rsidRPr="00FD4AE2">
        <w:rPr>
          <w:rFonts w:ascii="Arial" w:hAnsi="Arial" w:cs="Arial"/>
        </w:rPr>
        <w:t xml:space="preserve"> Entwicklung und die weiteren Schritte (z.B. Beauftragung einer Detektei, Beauftragung externer Dienstleister etc.)</w:t>
      </w:r>
      <w:r w:rsidR="00943C5D">
        <w:rPr>
          <w:rFonts w:ascii="Arial" w:hAnsi="Arial" w:cs="Arial"/>
        </w:rPr>
        <w:t>.</w:t>
      </w:r>
    </w:p>
    <w:p w14:paraId="2E1A019C" w14:textId="01CFB6BA" w:rsidR="00F71CDE" w:rsidRDefault="00F71CDE" w:rsidP="00F71CDE">
      <w:pPr>
        <w:ind w:left="709"/>
        <w:rPr>
          <w:rFonts w:ascii="Arial" w:hAnsi="Arial" w:cs="Arial"/>
        </w:rPr>
      </w:pPr>
      <w:r w:rsidRPr="00F71CDE">
        <w:rPr>
          <w:rFonts w:ascii="Arial" w:hAnsi="Arial" w:cs="Arial"/>
        </w:rPr>
        <w:t>Die TK wird dem AN alle zur Bearbeitung der Auslandsregressfälle notwendigen erteilen, soweit diese im Rahmen des Zumutbaren beschafft werden können. Damit wird der AN ermächtigt, Verhandlungen und Korrespondenz mit den Beteiligten zu führen.</w:t>
      </w:r>
    </w:p>
    <w:p w14:paraId="1295D521" w14:textId="2935B801" w:rsidR="00F71CDE" w:rsidRPr="004C1B7A" w:rsidRDefault="00F71CDE" w:rsidP="004C1B7A">
      <w:pPr>
        <w:ind w:left="709"/>
        <w:rPr>
          <w:rFonts w:ascii="Arial" w:hAnsi="Arial" w:cs="Arial"/>
        </w:rPr>
      </w:pPr>
      <w:r w:rsidRPr="00F71CDE">
        <w:rPr>
          <w:rFonts w:ascii="Arial" w:hAnsi="Arial" w:cs="Arial"/>
        </w:rPr>
        <w:t xml:space="preserve">Weiterhin ist der AN bei berechtigtem Interesse nach Rücksprache und schriftlicher Einwilligung der TK ermächtigt, Untervollmacht zu erteilen. </w:t>
      </w:r>
    </w:p>
    <w:p w14:paraId="702CFFAB" w14:textId="3EBABF66" w:rsidR="00556412" w:rsidRPr="00F71CDE" w:rsidRDefault="00F71CDE" w:rsidP="00F71CDE">
      <w:pPr>
        <w:ind w:left="709"/>
        <w:rPr>
          <w:rFonts w:ascii="Arial" w:hAnsi="Arial" w:cs="Arial"/>
        </w:rPr>
      </w:pPr>
      <w:r>
        <w:rPr>
          <w:rFonts w:ascii="Arial" w:hAnsi="Arial" w:cs="Arial"/>
        </w:rPr>
        <w:t xml:space="preserve">Gütliche </w:t>
      </w:r>
      <w:r w:rsidR="00FD4AE2" w:rsidRPr="000926B2">
        <w:rPr>
          <w:rFonts w:ascii="Arial" w:hAnsi="Arial" w:cs="Arial"/>
        </w:rPr>
        <w:t xml:space="preserve">Erledigungen, </w:t>
      </w:r>
      <w:r w:rsidRPr="009A14DD">
        <w:rPr>
          <w:rFonts w:ascii="Arial" w:hAnsi="Arial" w:cs="Arial"/>
        </w:rPr>
        <w:t>Stundungs- und Ratenzahlungsvereinbarungen sowie Verzichtsvergleiche</w:t>
      </w:r>
      <w:r>
        <w:rPr>
          <w:rFonts w:ascii="Arial" w:hAnsi="Arial" w:cs="Arial"/>
        </w:rPr>
        <w:t xml:space="preserve"> dürfen </w:t>
      </w:r>
      <w:r w:rsidR="00FD4AE2" w:rsidRPr="000926B2">
        <w:rPr>
          <w:rFonts w:ascii="Arial" w:hAnsi="Arial" w:cs="Arial"/>
        </w:rPr>
        <w:t xml:space="preserve">nur mit vorheriger </w:t>
      </w:r>
      <w:r w:rsidR="00FD4AE2">
        <w:rPr>
          <w:rFonts w:ascii="Arial" w:hAnsi="Arial" w:cs="Arial"/>
        </w:rPr>
        <w:t xml:space="preserve">schriftlicher </w:t>
      </w:r>
      <w:r w:rsidR="00FD4AE2" w:rsidRPr="000926B2">
        <w:rPr>
          <w:rFonts w:ascii="Arial" w:hAnsi="Arial" w:cs="Arial"/>
        </w:rPr>
        <w:t>Zustimmun</w:t>
      </w:r>
      <w:r>
        <w:rPr>
          <w:rFonts w:ascii="Arial" w:hAnsi="Arial" w:cs="Arial"/>
        </w:rPr>
        <w:t>g/Einwilligung d</w:t>
      </w:r>
      <w:r w:rsidR="00FD4AE2" w:rsidRPr="00F71CDE">
        <w:rPr>
          <w:rFonts w:ascii="Arial" w:hAnsi="Arial" w:cs="Arial"/>
        </w:rPr>
        <w:t xml:space="preserve">er TK durch den AN abgeschlossen werden. </w:t>
      </w:r>
    </w:p>
    <w:p w14:paraId="3D5B3889" w14:textId="77777777" w:rsidR="00F71CDE" w:rsidRPr="00F71CDE" w:rsidRDefault="00F71CDE" w:rsidP="00F71CDE">
      <w:pPr>
        <w:pStyle w:val="Listenabsatz"/>
        <w:ind w:left="709"/>
        <w:rPr>
          <w:rFonts w:ascii="Arial" w:hAnsi="Arial" w:cs="Arial"/>
        </w:rPr>
      </w:pPr>
    </w:p>
    <w:p w14:paraId="2FE1363A" w14:textId="77777777" w:rsidR="00D84AD2" w:rsidRDefault="00D84AD2" w:rsidP="00D84AD2">
      <w:pPr>
        <w:pStyle w:val="Listenabsatz"/>
        <w:numPr>
          <w:ilvl w:val="1"/>
          <w:numId w:val="1"/>
        </w:numPr>
        <w:rPr>
          <w:rFonts w:asciiTheme="majorHAnsi" w:eastAsiaTheme="majorEastAsia" w:hAnsiTheme="majorHAnsi" w:cstheme="majorBidi"/>
          <w:color w:val="0F4761" w:themeColor="accent1" w:themeShade="BF"/>
          <w:sz w:val="32"/>
          <w:szCs w:val="32"/>
        </w:rPr>
      </w:pPr>
      <w:r w:rsidRPr="00D84AD2">
        <w:rPr>
          <w:rFonts w:asciiTheme="majorHAnsi" w:eastAsiaTheme="majorEastAsia" w:hAnsiTheme="majorHAnsi" w:cstheme="majorBidi"/>
          <w:color w:val="0F4761" w:themeColor="accent1" w:themeShade="BF"/>
          <w:sz w:val="32"/>
          <w:szCs w:val="32"/>
        </w:rPr>
        <w:t>Gerichtliches Verfahren</w:t>
      </w:r>
    </w:p>
    <w:p w14:paraId="723397F0" w14:textId="77777777" w:rsidR="004326E5" w:rsidRDefault="004326E5" w:rsidP="004326E5">
      <w:pPr>
        <w:pStyle w:val="Listenabsatz"/>
        <w:ind w:left="795"/>
        <w:rPr>
          <w:rFonts w:asciiTheme="majorHAnsi" w:eastAsiaTheme="majorEastAsia" w:hAnsiTheme="majorHAnsi" w:cstheme="majorBidi"/>
          <w:color w:val="0F4761" w:themeColor="accent1" w:themeShade="BF"/>
          <w:sz w:val="32"/>
          <w:szCs w:val="32"/>
        </w:rPr>
      </w:pPr>
    </w:p>
    <w:p w14:paraId="0C10CB61" w14:textId="53FB26F4" w:rsidR="004326E5" w:rsidRDefault="004326E5" w:rsidP="004326E5">
      <w:pPr>
        <w:pStyle w:val="Listenabsatz"/>
        <w:ind w:left="709"/>
        <w:rPr>
          <w:rFonts w:ascii="Arial" w:hAnsi="Arial" w:cs="Arial"/>
        </w:rPr>
      </w:pPr>
      <w:r w:rsidRPr="004326E5">
        <w:rPr>
          <w:rFonts w:ascii="Arial" w:hAnsi="Arial" w:cs="Arial"/>
        </w:rPr>
        <w:t xml:space="preserve">Ein gerichtliches Verfahren wird nur dann eingeleitet, wenn eine außergerichtliche Einigung nicht erzielt werden kann und nach dem jeweils geltenden Recht hinreichende Erfolgsaussichten für ein Obsiegen bestehen. </w:t>
      </w:r>
    </w:p>
    <w:p w14:paraId="0874E832" w14:textId="77777777" w:rsidR="004326E5" w:rsidRPr="004326E5" w:rsidRDefault="004326E5" w:rsidP="004326E5">
      <w:pPr>
        <w:pStyle w:val="Listenabsatz"/>
        <w:ind w:left="709"/>
        <w:rPr>
          <w:rFonts w:ascii="Arial" w:hAnsi="Arial" w:cs="Arial"/>
        </w:rPr>
      </w:pPr>
    </w:p>
    <w:p w14:paraId="7B56F5DE" w14:textId="00D5858B" w:rsidR="004326E5" w:rsidRDefault="004326E5" w:rsidP="004326E5">
      <w:pPr>
        <w:pStyle w:val="Listenabsatz"/>
        <w:ind w:left="709"/>
        <w:rPr>
          <w:rFonts w:ascii="Arial" w:hAnsi="Arial" w:cs="Arial"/>
        </w:rPr>
      </w:pPr>
      <w:r w:rsidRPr="004326E5">
        <w:rPr>
          <w:rFonts w:ascii="Arial" w:hAnsi="Arial" w:cs="Arial"/>
        </w:rPr>
        <w:t>Der AN hat auch hierbei vorab eine Wirtschaftlichkeitsprüfung vorzunehmen und die schriftliche Zustimmung der TK einzuholen. Sind diese Voraussetzungen erfüllt, informiert der AN die TK fortlaufend</w:t>
      </w:r>
      <w:r w:rsidR="00F71CDE">
        <w:rPr>
          <w:rFonts w:ascii="Arial" w:hAnsi="Arial" w:cs="Arial"/>
        </w:rPr>
        <w:t xml:space="preserve"> (mindestens 1x im Quartal)</w:t>
      </w:r>
      <w:r w:rsidRPr="004326E5">
        <w:rPr>
          <w:rFonts w:ascii="Arial" w:hAnsi="Arial" w:cs="Arial"/>
        </w:rPr>
        <w:t xml:space="preserve"> über den jeweiligen Stand des Verfahrens. </w:t>
      </w:r>
    </w:p>
    <w:p w14:paraId="794C9758" w14:textId="77777777" w:rsidR="004326E5" w:rsidRPr="004326E5" w:rsidRDefault="004326E5" w:rsidP="004326E5">
      <w:pPr>
        <w:pStyle w:val="Listenabsatz"/>
        <w:ind w:left="709"/>
        <w:rPr>
          <w:rFonts w:ascii="Arial" w:hAnsi="Arial" w:cs="Arial"/>
        </w:rPr>
      </w:pPr>
    </w:p>
    <w:p w14:paraId="5223373D" w14:textId="0AB50D55" w:rsidR="004326E5" w:rsidRPr="004326E5" w:rsidRDefault="004326E5" w:rsidP="004326E5">
      <w:pPr>
        <w:pStyle w:val="Listenabsatz"/>
        <w:ind w:left="709"/>
        <w:rPr>
          <w:rFonts w:cs="Arial"/>
        </w:rPr>
      </w:pPr>
      <w:r w:rsidRPr="004326E5">
        <w:rPr>
          <w:rFonts w:ascii="Arial" w:hAnsi="Arial" w:cs="Arial"/>
        </w:rPr>
        <w:t xml:space="preserve">Sollte der AN im Einzelfall das Verfahren nicht selbst vor Gericht führen können, empfiehlt der AN der TK nach vorheriger Abstimmung geeignete Vertragsanwälte. </w:t>
      </w:r>
      <w:r w:rsidR="00B1548A">
        <w:rPr>
          <w:rFonts w:ascii="Arial" w:hAnsi="Arial" w:cs="Arial"/>
        </w:rPr>
        <w:t>Dabei</w:t>
      </w:r>
      <w:r w:rsidR="006E3570" w:rsidRPr="006E3570">
        <w:rPr>
          <w:rFonts w:ascii="Arial" w:hAnsi="Arial" w:cs="Arial"/>
        </w:rPr>
        <w:t xml:space="preserve"> trägt </w:t>
      </w:r>
      <w:r w:rsidR="00B1548A">
        <w:rPr>
          <w:rFonts w:ascii="Arial" w:hAnsi="Arial" w:cs="Arial"/>
        </w:rPr>
        <w:t xml:space="preserve">der AN </w:t>
      </w:r>
      <w:r w:rsidR="006E3570" w:rsidRPr="006E3570">
        <w:rPr>
          <w:rFonts w:ascii="Arial" w:hAnsi="Arial" w:cs="Arial"/>
        </w:rPr>
        <w:t>dafür Sorge, dass die Vertragsanwälte</w:t>
      </w:r>
      <w:r w:rsidR="00B1548A">
        <w:rPr>
          <w:rFonts w:ascii="Arial" w:hAnsi="Arial" w:cs="Arial"/>
        </w:rPr>
        <w:t xml:space="preserve"> zum einen eine entsprechende</w:t>
      </w:r>
      <w:r w:rsidR="006E3570" w:rsidRPr="006E3570">
        <w:rPr>
          <w:rFonts w:ascii="Arial" w:hAnsi="Arial" w:cs="Arial"/>
        </w:rPr>
        <w:t xml:space="preserve"> fachlich</w:t>
      </w:r>
      <w:r w:rsidR="00B1548A">
        <w:rPr>
          <w:rFonts w:ascii="Arial" w:hAnsi="Arial" w:cs="Arial"/>
        </w:rPr>
        <w:t>e</w:t>
      </w:r>
      <w:r w:rsidR="006E3570" w:rsidRPr="006E3570">
        <w:rPr>
          <w:rFonts w:ascii="Arial" w:hAnsi="Arial" w:cs="Arial"/>
        </w:rPr>
        <w:t xml:space="preserve"> Eignung besitzen.</w:t>
      </w:r>
      <w:r w:rsidR="00B1548A">
        <w:rPr>
          <w:rFonts w:ascii="Arial" w:hAnsi="Arial" w:cs="Arial"/>
        </w:rPr>
        <w:t xml:space="preserve"> Zum anderen hat der AN darauf zu achten, dass sich die Vergütung der Vertragsanwälte in einem angemessenen Rahmen bewegen. </w:t>
      </w:r>
      <w:r w:rsidRPr="004326E5">
        <w:rPr>
          <w:rFonts w:ascii="Arial" w:hAnsi="Arial" w:cs="Arial"/>
        </w:rPr>
        <w:t>Nach Zustimmung durch die TK beauftragt der AN den jeweiligen Vertragsanwalt entsprechend den Regelungen dieses Vertrages mit der Durchführung des gerichtlichen Verfahrens. Die hierfür anfallenden Kosten müssen nach Ziff. 3.</w:t>
      </w:r>
      <w:r w:rsidR="00AE0D40">
        <w:rPr>
          <w:rFonts w:ascii="Arial" w:hAnsi="Arial" w:cs="Arial"/>
        </w:rPr>
        <w:t>6</w:t>
      </w:r>
      <w:r w:rsidRPr="004326E5">
        <w:rPr>
          <w:rFonts w:ascii="Arial" w:hAnsi="Arial" w:cs="Arial"/>
        </w:rPr>
        <w:t xml:space="preserve"> dargelegt und von der TK schriftlich freigegeben werden. </w:t>
      </w:r>
    </w:p>
    <w:p w14:paraId="06C69A0E" w14:textId="77777777" w:rsidR="004326E5" w:rsidRPr="00D84AD2" w:rsidRDefault="004326E5" w:rsidP="004326E5">
      <w:pPr>
        <w:pStyle w:val="Listenabsatz"/>
        <w:ind w:left="795"/>
        <w:rPr>
          <w:rFonts w:asciiTheme="majorHAnsi" w:eastAsiaTheme="majorEastAsia" w:hAnsiTheme="majorHAnsi" w:cstheme="majorBidi"/>
          <w:color w:val="0F4761" w:themeColor="accent1" w:themeShade="BF"/>
          <w:sz w:val="32"/>
          <w:szCs w:val="32"/>
        </w:rPr>
      </w:pPr>
    </w:p>
    <w:p w14:paraId="0C7CC0B6" w14:textId="77777777" w:rsidR="00D84AD2" w:rsidRDefault="00D84AD2" w:rsidP="00D84AD2">
      <w:pPr>
        <w:pStyle w:val="Listenabsatz"/>
        <w:numPr>
          <w:ilvl w:val="1"/>
          <w:numId w:val="1"/>
        </w:numPr>
        <w:rPr>
          <w:rFonts w:asciiTheme="majorHAnsi" w:eastAsiaTheme="majorEastAsia" w:hAnsiTheme="majorHAnsi" w:cstheme="majorBidi"/>
          <w:color w:val="0F4761" w:themeColor="accent1" w:themeShade="BF"/>
          <w:sz w:val="32"/>
          <w:szCs w:val="32"/>
        </w:rPr>
      </w:pPr>
      <w:r w:rsidRPr="00D84AD2">
        <w:rPr>
          <w:rFonts w:asciiTheme="majorHAnsi" w:eastAsiaTheme="majorEastAsia" w:hAnsiTheme="majorHAnsi" w:cstheme="majorBidi"/>
          <w:color w:val="0F4761" w:themeColor="accent1" w:themeShade="BF"/>
          <w:sz w:val="32"/>
          <w:szCs w:val="32"/>
        </w:rPr>
        <w:t>Kostenabstimmung</w:t>
      </w:r>
    </w:p>
    <w:p w14:paraId="52058D6D" w14:textId="77777777" w:rsidR="004326E5" w:rsidRDefault="004326E5" w:rsidP="004326E5">
      <w:pPr>
        <w:pStyle w:val="Listenabsatz"/>
        <w:ind w:left="795"/>
        <w:rPr>
          <w:rFonts w:asciiTheme="majorHAnsi" w:eastAsiaTheme="majorEastAsia" w:hAnsiTheme="majorHAnsi" w:cstheme="majorBidi"/>
          <w:color w:val="0F4761" w:themeColor="accent1" w:themeShade="BF"/>
          <w:sz w:val="32"/>
          <w:szCs w:val="32"/>
        </w:rPr>
      </w:pPr>
    </w:p>
    <w:p w14:paraId="4A2D12FC" w14:textId="4DC02558" w:rsidR="00EB5586" w:rsidRDefault="004326E5" w:rsidP="004326E5">
      <w:pPr>
        <w:pStyle w:val="Listenabsatz"/>
        <w:ind w:left="709"/>
        <w:rPr>
          <w:rFonts w:ascii="Arial" w:hAnsi="Arial" w:cs="Arial"/>
        </w:rPr>
      </w:pPr>
      <w:r w:rsidRPr="004326E5">
        <w:rPr>
          <w:rFonts w:ascii="Arial" w:hAnsi="Arial" w:cs="Arial"/>
        </w:rPr>
        <w:t xml:space="preserve">Der AN verpflichtet sich Kosten, die über </w:t>
      </w:r>
      <w:r w:rsidR="00AE0D40">
        <w:rPr>
          <w:rFonts w:ascii="Arial" w:hAnsi="Arial" w:cs="Arial"/>
        </w:rPr>
        <w:t xml:space="preserve">die Beratungsgebühr </w:t>
      </w:r>
      <w:r w:rsidR="00496CAB">
        <w:rPr>
          <w:rFonts w:ascii="Arial" w:hAnsi="Arial" w:cs="Arial"/>
        </w:rPr>
        <w:t xml:space="preserve">und 100€ </w:t>
      </w:r>
      <w:r w:rsidR="00AE0D40">
        <w:rPr>
          <w:rFonts w:ascii="Arial" w:hAnsi="Arial" w:cs="Arial"/>
        </w:rPr>
        <w:t xml:space="preserve">hinausgehen, </w:t>
      </w:r>
      <w:r w:rsidRPr="004326E5">
        <w:rPr>
          <w:rFonts w:ascii="Arial" w:hAnsi="Arial" w:cs="Arial"/>
        </w:rPr>
        <w:t>n</w:t>
      </w:r>
      <w:r w:rsidR="00AE0D40">
        <w:rPr>
          <w:rFonts w:ascii="Arial" w:hAnsi="Arial" w:cs="Arial"/>
        </w:rPr>
        <w:t xml:space="preserve">ur </w:t>
      </w:r>
      <w:r w:rsidRPr="004326E5">
        <w:rPr>
          <w:rFonts w:ascii="Arial" w:hAnsi="Arial" w:cs="Arial"/>
        </w:rPr>
        <w:t>mit Zustimmung</w:t>
      </w:r>
      <w:r w:rsidR="00AE0D40">
        <w:rPr>
          <w:rFonts w:ascii="Arial" w:hAnsi="Arial" w:cs="Arial"/>
        </w:rPr>
        <w:t xml:space="preserve"> der TK</w:t>
      </w:r>
      <w:r w:rsidRPr="004326E5">
        <w:rPr>
          <w:rFonts w:ascii="Arial" w:hAnsi="Arial" w:cs="Arial"/>
        </w:rPr>
        <w:t xml:space="preserve"> auszulösen</w:t>
      </w:r>
      <w:r w:rsidR="00496CAB">
        <w:rPr>
          <w:rFonts w:ascii="Arial" w:hAnsi="Arial" w:cs="Arial"/>
        </w:rPr>
        <w:t xml:space="preserve"> (vgl. § 5 Abs.2 Vertrag)</w:t>
      </w:r>
      <w:r w:rsidRPr="004326E5">
        <w:rPr>
          <w:rFonts w:ascii="Arial" w:hAnsi="Arial" w:cs="Arial"/>
        </w:rPr>
        <w:t xml:space="preserve">. </w:t>
      </w:r>
    </w:p>
    <w:p w14:paraId="573CF594" w14:textId="3E3E1EFF" w:rsidR="004326E5" w:rsidRDefault="004326E5" w:rsidP="004326E5">
      <w:pPr>
        <w:pStyle w:val="Listenabsatz"/>
        <w:ind w:left="709"/>
        <w:rPr>
          <w:rFonts w:ascii="Arial" w:hAnsi="Arial" w:cs="Arial"/>
        </w:rPr>
      </w:pPr>
      <w:r w:rsidRPr="004326E5">
        <w:rPr>
          <w:rFonts w:ascii="Arial" w:hAnsi="Arial" w:cs="Arial"/>
        </w:rPr>
        <w:t xml:space="preserve">Das gilt beispielsweise für die Einschaltung von Rechtsanwältinnen und Rechtanwälten, Sachverständigen oder anderen Expertinnen und Experten für die Erhebung von Klagen oder für die Einlegung von Rechtsmitteln. </w:t>
      </w:r>
    </w:p>
    <w:p w14:paraId="2AD05423" w14:textId="77777777" w:rsidR="00AE0D40" w:rsidRPr="004326E5" w:rsidRDefault="00AE0D40" w:rsidP="004326E5">
      <w:pPr>
        <w:pStyle w:val="Listenabsatz"/>
        <w:ind w:left="709"/>
        <w:rPr>
          <w:rFonts w:ascii="Arial" w:hAnsi="Arial" w:cs="Arial"/>
        </w:rPr>
      </w:pPr>
    </w:p>
    <w:p w14:paraId="58A6083B" w14:textId="7A763498" w:rsidR="004326E5" w:rsidRPr="004326E5" w:rsidRDefault="004326E5" w:rsidP="004326E5">
      <w:pPr>
        <w:pStyle w:val="Listenabsatz"/>
        <w:ind w:left="709"/>
        <w:rPr>
          <w:rFonts w:ascii="Arial" w:hAnsi="Arial" w:cs="Arial"/>
        </w:rPr>
      </w:pPr>
      <w:r w:rsidRPr="004326E5">
        <w:rPr>
          <w:rFonts w:ascii="Arial" w:hAnsi="Arial" w:cs="Arial"/>
        </w:rPr>
        <w:t xml:space="preserve">Hierfür hat der AN der TK einen Kostenvoranschlag </w:t>
      </w:r>
      <w:r w:rsidR="00EB5586">
        <w:rPr>
          <w:rFonts w:ascii="Arial" w:hAnsi="Arial" w:cs="Arial"/>
        </w:rPr>
        <w:t xml:space="preserve">per </w:t>
      </w:r>
      <w:r w:rsidR="005564D2">
        <w:rPr>
          <w:rFonts w:ascii="Arial" w:hAnsi="Arial" w:cs="Arial"/>
        </w:rPr>
        <w:t>E-Mail</w:t>
      </w:r>
      <w:r w:rsidR="00EB5586">
        <w:rPr>
          <w:rFonts w:ascii="Arial" w:hAnsi="Arial" w:cs="Arial"/>
        </w:rPr>
        <w:t xml:space="preserve"> </w:t>
      </w:r>
      <w:r w:rsidRPr="004326E5">
        <w:rPr>
          <w:rFonts w:ascii="Arial" w:hAnsi="Arial" w:cs="Arial"/>
        </w:rPr>
        <w:t>zu übermitteln. Sollte die TK das Einverständnis geben, wird der AN die Kosten bezahlen und 1:1 an die TK weiterleiten.</w:t>
      </w:r>
    </w:p>
    <w:p w14:paraId="48379092" w14:textId="77777777" w:rsidR="004326E5" w:rsidRPr="004326E5" w:rsidRDefault="004326E5" w:rsidP="004326E5">
      <w:pPr>
        <w:pStyle w:val="Listenabsatz"/>
        <w:ind w:left="709"/>
        <w:rPr>
          <w:rFonts w:ascii="Arial" w:hAnsi="Arial" w:cs="Arial"/>
        </w:rPr>
      </w:pPr>
    </w:p>
    <w:p w14:paraId="493D3E2E" w14:textId="1509F619" w:rsidR="004326E5" w:rsidRDefault="004326E5" w:rsidP="000705A1">
      <w:pPr>
        <w:pStyle w:val="Listenabsatz"/>
        <w:ind w:left="709"/>
        <w:rPr>
          <w:rFonts w:ascii="Arial" w:hAnsi="Arial" w:cs="Arial"/>
        </w:rPr>
      </w:pPr>
      <w:r w:rsidRPr="004326E5">
        <w:rPr>
          <w:rFonts w:ascii="Arial" w:hAnsi="Arial" w:cs="Arial"/>
        </w:rPr>
        <w:t>Der Kostenvoranschlag führt alle Einzelpositionen netto</w:t>
      </w:r>
      <w:r w:rsidR="00EB5586">
        <w:rPr>
          <w:rFonts w:ascii="Arial" w:hAnsi="Arial" w:cs="Arial"/>
        </w:rPr>
        <w:t xml:space="preserve"> sowie </w:t>
      </w:r>
      <w:r w:rsidRPr="004326E5">
        <w:rPr>
          <w:rFonts w:ascii="Arial" w:hAnsi="Arial" w:cs="Arial"/>
        </w:rPr>
        <w:t>die Gesamtsumme netto</w:t>
      </w:r>
      <w:r w:rsidR="00EB5586">
        <w:rPr>
          <w:rFonts w:ascii="Arial" w:hAnsi="Arial" w:cs="Arial"/>
        </w:rPr>
        <w:t xml:space="preserve"> auf.</w:t>
      </w:r>
    </w:p>
    <w:p w14:paraId="03E8E433" w14:textId="77777777" w:rsidR="00EB5586" w:rsidRDefault="00EB5586" w:rsidP="000705A1">
      <w:pPr>
        <w:pStyle w:val="Listenabsatz"/>
        <w:ind w:left="709"/>
        <w:rPr>
          <w:rFonts w:ascii="Arial" w:hAnsi="Arial" w:cs="Arial"/>
        </w:rPr>
      </w:pPr>
    </w:p>
    <w:p w14:paraId="734529BA" w14:textId="33E92D28" w:rsidR="00EB5586" w:rsidRDefault="00EB5586" w:rsidP="00EB5586">
      <w:pPr>
        <w:pStyle w:val="Listenabsatz"/>
        <w:ind w:left="709"/>
        <w:rPr>
          <w:rFonts w:ascii="Arial" w:hAnsi="Arial" w:cs="Arial"/>
        </w:rPr>
      </w:pPr>
      <w:r>
        <w:rPr>
          <w:rFonts w:ascii="Arial" w:hAnsi="Arial" w:cs="Arial"/>
        </w:rPr>
        <w:t xml:space="preserve">Bei Kosten </w:t>
      </w:r>
      <w:proofErr w:type="spellStart"/>
      <w:r>
        <w:rPr>
          <w:rFonts w:ascii="Arial" w:hAnsi="Arial" w:cs="Arial"/>
        </w:rPr>
        <w:t>i</w:t>
      </w:r>
      <w:r w:rsidR="00A17990">
        <w:rPr>
          <w:rFonts w:ascii="Arial" w:hAnsi="Arial" w:cs="Arial"/>
        </w:rPr>
        <w:t>.</w:t>
      </w:r>
      <w:r>
        <w:rPr>
          <w:rFonts w:ascii="Arial" w:hAnsi="Arial" w:cs="Arial"/>
        </w:rPr>
        <w:t>H</w:t>
      </w:r>
      <w:r w:rsidR="00A17990">
        <w:rPr>
          <w:rFonts w:ascii="Arial" w:hAnsi="Arial" w:cs="Arial"/>
        </w:rPr>
        <w:t>.</w:t>
      </w:r>
      <w:r>
        <w:rPr>
          <w:rFonts w:ascii="Arial" w:hAnsi="Arial" w:cs="Arial"/>
        </w:rPr>
        <w:t>v</w:t>
      </w:r>
      <w:proofErr w:type="spellEnd"/>
      <w:r>
        <w:rPr>
          <w:rFonts w:ascii="Arial" w:hAnsi="Arial" w:cs="Arial"/>
        </w:rPr>
        <w:t xml:space="preserve"> bis zu 100€ reicht eine einfache Mitteilung an die TK.</w:t>
      </w:r>
    </w:p>
    <w:p w14:paraId="168A3EB3" w14:textId="77777777" w:rsidR="00EB5586" w:rsidRDefault="00EB5586" w:rsidP="000705A1">
      <w:pPr>
        <w:pStyle w:val="Listenabsatz"/>
        <w:ind w:left="709"/>
        <w:rPr>
          <w:rFonts w:ascii="Arial" w:hAnsi="Arial" w:cs="Arial"/>
        </w:rPr>
      </w:pPr>
    </w:p>
    <w:p w14:paraId="1F1083B4" w14:textId="77777777" w:rsidR="000705A1" w:rsidRPr="000705A1" w:rsidRDefault="000705A1" w:rsidP="000705A1">
      <w:pPr>
        <w:pStyle w:val="Listenabsatz"/>
        <w:ind w:left="709"/>
        <w:rPr>
          <w:rFonts w:ascii="Arial" w:hAnsi="Arial" w:cs="Arial"/>
        </w:rPr>
      </w:pPr>
    </w:p>
    <w:p w14:paraId="4CA1CAAC" w14:textId="77777777" w:rsidR="00D84AD2" w:rsidRDefault="00D84AD2" w:rsidP="00D84AD2">
      <w:pPr>
        <w:pStyle w:val="Listenabsatz"/>
        <w:numPr>
          <w:ilvl w:val="1"/>
          <w:numId w:val="1"/>
        </w:numPr>
        <w:rPr>
          <w:rFonts w:asciiTheme="majorHAnsi" w:eastAsiaTheme="majorEastAsia" w:hAnsiTheme="majorHAnsi" w:cstheme="majorBidi"/>
          <w:color w:val="0F4761" w:themeColor="accent1" w:themeShade="BF"/>
          <w:sz w:val="32"/>
          <w:szCs w:val="32"/>
        </w:rPr>
      </w:pPr>
      <w:r w:rsidRPr="00D84AD2">
        <w:rPr>
          <w:rFonts w:asciiTheme="majorHAnsi" w:eastAsiaTheme="majorEastAsia" w:hAnsiTheme="majorHAnsi" w:cstheme="majorBidi"/>
          <w:color w:val="0F4761" w:themeColor="accent1" w:themeShade="BF"/>
          <w:sz w:val="32"/>
          <w:szCs w:val="32"/>
        </w:rPr>
        <w:t xml:space="preserve">Forderungsmanagement </w:t>
      </w:r>
    </w:p>
    <w:p w14:paraId="610F51E2" w14:textId="77777777" w:rsidR="004326E5" w:rsidRDefault="004326E5" w:rsidP="004326E5">
      <w:pPr>
        <w:pStyle w:val="Listenabsatz"/>
        <w:ind w:left="435"/>
        <w:rPr>
          <w:rFonts w:ascii="Arial" w:hAnsi="Arial" w:cs="Arial"/>
        </w:rPr>
      </w:pPr>
    </w:p>
    <w:p w14:paraId="341015EE" w14:textId="4A08FEA4" w:rsidR="004326E5" w:rsidRPr="00C520BC" w:rsidRDefault="004326E5" w:rsidP="00C520BC">
      <w:pPr>
        <w:pStyle w:val="Listenabsatz"/>
        <w:ind w:left="709"/>
        <w:rPr>
          <w:rFonts w:ascii="Arial" w:hAnsi="Arial" w:cs="Arial"/>
        </w:rPr>
      </w:pPr>
      <w:r w:rsidRPr="000926B2">
        <w:rPr>
          <w:rFonts w:ascii="Arial" w:hAnsi="Arial" w:cs="Arial"/>
        </w:rPr>
        <w:t xml:space="preserve">Der AN muss neben der Sachverhaltsklärung auch die Eintreibung der nach Sach- und Rechtslage begründeten Regressforderungen gegenüber den ausländischen Drittbeteiligten und soweit möglich und von der TK gewünscht, die Einholung eines vollstreckbaren Titels bei Nichterfüllung der Regressforderung durchführen. </w:t>
      </w:r>
    </w:p>
    <w:p w14:paraId="44882773" w14:textId="77777777" w:rsidR="00D84AD2" w:rsidRPr="00D84AD2" w:rsidRDefault="00D84AD2" w:rsidP="00D84AD2">
      <w:pPr>
        <w:pStyle w:val="Listenabsatz"/>
        <w:ind w:left="795"/>
        <w:rPr>
          <w:rFonts w:asciiTheme="majorHAnsi" w:eastAsiaTheme="majorEastAsia" w:hAnsiTheme="majorHAnsi" w:cstheme="majorBidi"/>
          <w:color w:val="0F4761" w:themeColor="accent1" w:themeShade="BF"/>
          <w:sz w:val="32"/>
          <w:szCs w:val="32"/>
        </w:rPr>
      </w:pPr>
    </w:p>
    <w:p w14:paraId="441258AC" w14:textId="09F1EF35" w:rsidR="008D7704" w:rsidRPr="008D7704" w:rsidRDefault="000705A1" w:rsidP="008D7704">
      <w:pPr>
        <w:pStyle w:val="Listenabsatz"/>
        <w:numPr>
          <w:ilvl w:val="0"/>
          <w:numId w:val="1"/>
        </w:numPr>
        <w:rPr>
          <w:rFonts w:asciiTheme="majorHAnsi" w:eastAsiaTheme="majorEastAsia" w:hAnsiTheme="majorHAnsi" w:cstheme="majorBidi"/>
          <w:color w:val="0F4761" w:themeColor="accent1" w:themeShade="BF"/>
          <w:sz w:val="40"/>
          <w:szCs w:val="40"/>
        </w:rPr>
      </w:pPr>
      <w:r w:rsidRPr="000705A1">
        <w:rPr>
          <w:rFonts w:asciiTheme="majorHAnsi" w:eastAsiaTheme="majorEastAsia" w:hAnsiTheme="majorHAnsi" w:cstheme="majorBidi"/>
          <w:color w:val="0F4761" w:themeColor="accent1" w:themeShade="BF"/>
          <w:sz w:val="40"/>
          <w:szCs w:val="40"/>
        </w:rPr>
        <w:t xml:space="preserve">Organisation, Implementierung und Reporting </w:t>
      </w:r>
    </w:p>
    <w:p w14:paraId="5AC85460" w14:textId="5FEA8C39" w:rsidR="00E33FD3" w:rsidRDefault="00E33FD3" w:rsidP="008D7704">
      <w:pPr>
        <w:pStyle w:val="berschrift2"/>
        <w:numPr>
          <w:ilvl w:val="1"/>
          <w:numId w:val="4"/>
        </w:numPr>
      </w:pPr>
      <w:r>
        <w:t>Kommunikationswege</w:t>
      </w:r>
    </w:p>
    <w:p w14:paraId="13AD8B75" w14:textId="278D519C" w:rsidR="00E33FD3" w:rsidRDefault="00E33FD3" w:rsidP="00E33FD3">
      <w:pPr>
        <w:pStyle w:val="Listenabsatz"/>
        <w:ind w:left="709"/>
        <w:rPr>
          <w:rFonts w:ascii="Arial" w:hAnsi="Arial" w:cs="Arial"/>
        </w:rPr>
      </w:pPr>
      <w:r w:rsidRPr="00D84AD2">
        <w:rPr>
          <w:rFonts w:ascii="Arial" w:hAnsi="Arial" w:cs="Arial"/>
        </w:rPr>
        <w:t xml:space="preserve">Die notwendige Kommunikation soll nach Möglichkeit auf elektronischem Wege über eine sichere Verbindung </w:t>
      </w:r>
      <w:r w:rsidRPr="001F42DB">
        <w:rPr>
          <w:rFonts w:ascii="Arial" w:hAnsi="Arial" w:cs="Arial"/>
        </w:rPr>
        <w:t xml:space="preserve">(siehe hierzu Vertrag </w:t>
      </w:r>
      <w:r w:rsidR="003F0C1E" w:rsidRPr="001F42DB">
        <w:rPr>
          <w:rFonts w:ascii="Arial" w:hAnsi="Arial" w:cs="Arial"/>
        </w:rPr>
        <w:t>§ 4 Abs. 1</w:t>
      </w:r>
      <w:r w:rsidRPr="001F42DB">
        <w:rPr>
          <w:rFonts w:ascii="Arial" w:hAnsi="Arial" w:cs="Arial"/>
        </w:rPr>
        <w:t xml:space="preserve"> und Datenschutzregelungen Anlage X) erfolgen. </w:t>
      </w:r>
    </w:p>
    <w:p w14:paraId="36870A4D" w14:textId="77777777" w:rsidR="00E33FD3" w:rsidRDefault="00E33FD3" w:rsidP="00E33FD3">
      <w:pPr>
        <w:pStyle w:val="Listenabsatz"/>
        <w:ind w:left="795"/>
      </w:pPr>
    </w:p>
    <w:p w14:paraId="7318E4B7" w14:textId="3B17CE5B" w:rsidR="008D7704" w:rsidRDefault="008D7704" w:rsidP="008D7704">
      <w:pPr>
        <w:pStyle w:val="berschrift2"/>
        <w:numPr>
          <w:ilvl w:val="1"/>
          <w:numId w:val="4"/>
        </w:numPr>
      </w:pPr>
      <w:bookmarkStart w:id="0" w:name="_Hlk221017297"/>
      <w:r>
        <w:t>Implementierung/Kick-Off</w:t>
      </w:r>
    </w:p>
    <w:p w14:paraId="13AAA397" w14:textId="5B07C942" w:rsidR="009E3C9A" w:rsidRPr="004149B0" w:rsidRDefault="009E3C9A" w:rsidP="00A17990">
      <w:pPr>
        <w:autoSpaceDE w:val="0"/>
        <w:autoSpaceDN w:val="0"/>
        <w:adjustRightInd w:val="0"/>
        <w:spacing w:before="120" w:after="120"/>
        <w:ind w:left="709"/>
        <w:rPr>
          <w:rFonts w:ascii="Arial" w:hAnsi="Arial" w:cs="Arial"/>
        </w:rPr>
      </w:pPr>
      <w:r w:rsidRPr="004149B0">
        <w:rPr>
          <w:rFonts w:ascii="Arial" w:hAnsi="Arial" w:cs="Arial"/>
        </w:rPr>
        <w:t>Nach Zuschlag</w:t>
      </w:r>
      <w:r w:rsidR="00BC5F86">
        <w:rPr>
          <w:rFonts w:ascii="Arial" w:hAnsi="Arial" w:cs="Arial"/>
        </w:rPr>
        <w:t>serteilung</w:t>
      </w:r>
      <w:r w:rsidRPr="004149B0">
        <w:rPr>
          <w:rFonts w:ascii="Arial" w:hAnsi="Arial" w:cs="Arial"/>
        </w:rPr>
        <w:t xml:space="preserve"> </w:t>
      </w:r>
      <w:r w:rsidR="00261903" w:rsidRPr="004149B0">
        <w:rPr>
          <w:rFonts w:ascii="Arial" w:hAnsi="Arial" w:cs="Arial"/>
        </w:rPr>
        <w:t xml:space="preserve">findet zwischen </w:t>
      </w:r>
      <w:r w:rsidRPr="004149B0">
        <w:rPr>
          <w:rFonts w:ascii="Arial" w:hAnsi="Arial" w:cs="Arial"/>
        </w:rPr>
        <w:t>de</w:t>
      </w:r>
      <w:r w:rsidR="00261903" w:rsidRPr="004149B0">
        <w:rPr>
          <w:rFonts w:ascii="Arial" w:hAnsi="Arial" w:cs="Arial"/>
        </w:rPr>
        <w:t>m</w:t>
      </w:r>
      <w:r w:rsidRPr="004149B0">
        <w:rPr>
          <w:rFonts w:ascii="Arial" w:hAnsi="Arial" w:cs="Arial"/>
        </w:rPr>
        <w:t xml:space="preserve"> AN </w:t>
      </w:r>
      <w:r w:rsidR="00261903" w:rsidRPr="004149B0">
        <w:rPr>
          <w:rFonts w:ascii="Arial" w:hAnsi="Arial" w:cs="Arial"/>
        </w:rPr>
        <w:t>und</w:t>
      </w:r>
      <w:r w:rsidRPr="004149B0">
        <w:rPr>
          <w:rFonts w:ascii="Arial" w:hAnsi="Arial" w:cs="Arial"/>
        </w:rPr>
        <w:t xml:space="preserve"> der TK </w:t>
      </w:r>
      <w:r w:rsidR="00261903" w:rsidRPr="004149B0">
        <w:rPr>
          <w:rFonts w:ascii="Arial" w:hAnsi="Arial" w:cs="Arial"/>
        </w:rPr>
        <w:t>ein</w:t>
      </w:r>
      <w:r w:rsidRPr="004149B0">
        <w:rPr>
          <w:rFonts w:ascii="Arial" w:hAnsi="Arial" w:cs="Arial"/>
        </w:rPr>
        <w:t xml:space="preserve"> eintägige</w:t>
      </w:r>
      <w:r w:rsidR="00261903" w:rsidRPr="004149B0">
        <w:rPr>
          <w:rFonts w:ascii="Arial" w:hAnsi="Arial" w:cs="Arial"/>
        </w:rPr>
        <w:t>r</w:t>
      </w:r>
      <w:r w:rsidRPr="004149B0">
        <w:rPr>
          <w:rFonts w:ascii="Arial" w:hAnsi="Arial" w:cs="Arial"/>
        </w:rPr>
        <w:t xml:space="preserve"> (9:00 bis 1</w:t>
      </w:r>
      <w:r w:rsidR="006E3570" w:rsidRPr="004149B0">
        <w:rPr>
          <w:rFonts w:ascii="Arial" w:hAnsi="Arial" w:cs="Arial"/>
        </w:rPr>
        <w:t>6</w:t>
      </w:r>
      <w:r w:rsidRPr="004149B0">
        <w:rPr>
          <w:rFonts w:ascii="Arial" w:hAnsi="Arial" w:cs="Arial"/>
        </w:rPr>
        <w:t xml:space="preserve">:00 Uhr) Kickoff-Workshop in Hamburg (Unternehmenszentrale der TK) </w:t>
      </w:r>
      <w:r w:rsidR="006E3570" w:rsidRPr="004149B0">
        <w:rPr>
          <w:rFonts w:ascii="Arial" w:hAnsi="Arial" w:cs="Arial"/>
        </w:rPr>
        <w:t xml:space="preserve">oder Schwerin (Fachzentrum Unfälle und Regresse) </w:t>
      </w:r>
      <w:r w:rsidRPr="004149B0">
        <w:rPr>
          <w:rFonts w:ascii="Arial" w:hAnsi="Arial" w:cs="Arial"/>
        </w:rPr>
        <w:t>bzw. per Online-Konferenz</w:t>
      </w:r>
      <w:r w:rsidR="00BC5F86">
        <w:rPr>
          <w:rFonts w:ascii="Arial" w:hAnsi="Arial" w:cs="Arial"/>
        </w:rPr>
        <w:t xml:space="preserve"> statt</w:t>
      </w:r>
      <w:r w:rsidRPr="004149B0">
        <w:rPr>
          <w:rFonts w:ascii="Arial" w:hAnsi="Arial" w:cs="Arial"/>
        </w:rPr>
        <w:t xml:space="preserve">. </w:t>
      </w:r>
      <w:r w:rsidR="00BA3AC0">
        <w:rPr>
          <w:rFonts w:ascii="Arial" w:hAnsi="Arial" w:cs="Arial"/>
        </w:rPr>
        <w:t xml:space="preserve">Ziel des Kick-Offs ist die </w:t>
      </w:r>
      <w:r w:rsidR="00BA3AC0" w:rsidRPr="00BA3AC0">
        <w:rPr>
          <w:rFonts w:ascii="Arial" w:hAnsi="Arial" w:cs="Arial"/>
        </w:rPr>
        <w:t xml:space="preserve">gemeinsame Klärung von Verantwortlichkeiten, </w:t>
      </w:r>
      <w:r w:rsidR="00BA3AC0">
        <w:rPr>
          <w:rFonts w:ascii="Arial" w:hAnsi="Arial" w:cs="Arial"/>
        </w:rPr>
        <w:t>technische</w:t>
      </w:r>
      <w:r w:rsidR="00923411">
        <w:rPr>
          <w:rFonts w:ascii="Arial" w:hAnsi="Arial" w:cs="Arial"/>
        </w:rPr>
        <w:t>n</w:t>
      </w:r>
      <w:r w:rsidR="00BA3AC0">
        <w:rPr>
          <w:rFonts w:ascii="Arial" w:hAnsi="Arial" w:cs="Arial"/>
        </w:rPr>
        <w:t xml:space="preserve"> Voraussetzungen, </w:t>
      </w:r>
      <w:r w:rsidR="00BA3AC0" w:rsidRPr="00BA3AC0">
        <w:rPr>
          <w:rFonts w:ascii="Arial" w:hAnsi="Arial" w:cs="Arial"/>
        </w:rPr>
        <w:t>Kommunikations- und Abstimmungswegen</w:t>
      </w:r>
      <w:r w:rsidR="00BA3AC0">
        <w:rPr>
          <w:rFonts w:ascii="Arial" w:hAnsi="Arial" w:cs="Arial"/>
        </w:rPr>
        <w:t xml:space="preserve"> sowie Terminabsprachen.</w:t>
      </w:r>
    </w:p>
    <w:p w14:paraId="404F9663" w14:textId="3120E346" w:rsidR="009E3C9A" w:rsidRDefault="009E3C9A" w:rsidP="00A9167B">
      <w:pPr>
        <w:ind w:left="709"/>
        <w:rPr>
          <w:rFonts w:ascii="Arial" w:hAnsi="Arial" w:cs="Arial"/>
        </w:rPr>
      </w:pPr>
      <w:r w:rsidRPr="004149B0">
        <w:rPr>
          <w:rFonts w:ascii="Arial" w:hAnsi="Arial" w:cs="Arial"/>
        </w:rPr>
        <w:t xml:space="preserve">Der Kickoff-Workshop </w:t>
      </w:r>
      <w:r w:rsidR="002621BF">
        <w:rPr>
          <w:rFonts w:ascii="Arial" w:hAnsi="Arial" w:cs="Arial"/>
        </w:rPr>
        <w:t xml:space="preserve">soll zeitnah, </w:t>
      </w:r>
      <w:r w:rsidRPr="004149B0">
        <w:rPr>
          <w:rFonts w:ascii="Arial" w:hAnsi="Arial" w:cs="Arial"/>
        </w:rPr>
        <w:t xml:space="preserve">spätestens </w:t>
      </w:r>
      <w:r w:rsidR="007462E1">
        <w:rPr>
          <w:rFonts w:ascii="Arial" w:hAnsi="Arial" w:cs="Arial"/>
        </w:rPr>
        <w:t>2</w:t>
      </w:r>
      <w:r w:rsidR="002621BF">
        <w:rPr>
          <w:rFonts w:ascii="Arial" w:hAnsi="Arial" w:cs="Arial"/>
        </w:rPr>
        <w:t>5</w:t>
      </w:r>
      <w:r w:rsidRPr="004149B0">
        <w:rPr>
          <w:rFonts w:ascii="Arial" w:hAnsi="Arial" w:cs="Arial"/>
        </w:rPr>
        <w:t xml:space="preserve"> Werktage nach </w:t>
      </w:r>
      <w:r w:rsidR="00BC5F86">
        <w:rPr>
          <w:rFonts w:ascii="Arial" w:hAnsi="Arial" w:cs="Arial"/>
        </w:rPr>
        <w:t>der Zuschlagserteilung</w:t>
      </w:r>
      <w:r w:rsidR="002621BF">
        <w:rPr>
          <w:rFonts w:ascii="Arial" w:hAnsi="Arial" w:cs="Arial"/>
        </w:rPr>
        <w:t>,</w:t>
      </w:r>
      <w:r w:rsidR="00BC5F86">
        <w:rPr>
          <w:rFonts w:ascii="Arial" w:hAnsi="Arial" w:cs="Arial"/>
        </w:rPr>
        <w:t xml:space="preserve"> </w:t>
      </w:r>
      <w:r w:rsidRPr="004149B0">
        <w:rPr>
          <w:rFonts w:ascii="Arial" w:hAnsi="Arial" w:cs="Arial"/>
        </w:rPr>
        <w:t>statt</w:t>
      </w:r>
      <w:r w:rsidR="002621BF">
        <w:rPr>
          <w:rFonts w:ascii="Arial" w:hAnsi="Arial" w:cs="Arial"/>
        </w:rPr>
        <w:t xml:space="preserve">finden. </w:t>
      </w:r>
    </w:p>
    <w:p w14:paraId="3C55BD10" w14:textId="3A07AFA3" w:rsidR="00BA3AC0" w:rsidRDefault="00BA3AC0" w:rsidP="00BA3AC0">
      <w:pPr>
        <w:ind w:left="709"/>
        <w:rPr>
          <w:rFonts w:ascii="Arial" w:hAnsi="Arial" w:cs="Arial"/>
        </w:rPr>
      </w:pPr>
      <w:r>
        <w:rPr>
          <w:rFonts w:ascii="Arial" w:hAnsi="Arial" w:cs="Arial"/>
        </w:rPr>
        <w:t>Die TK</w:t>
      </w:r>
      <w:r w:rsidRPr="00BA3AC0">
        <w:rPr>
          <w:rFonts w:ascii="Arial" w:hAnsi="Arial" w:cs="Arial"/>
        </w:rPr>
        <w:t xml:space="preserve"> übernimmt die inhaltliche </w:t>
      </w:r>
      <w:r w:rsidR="00BC5F86">
        <w:rPr>
          <w:rFonts w:ascii="Arial" w:hAnsi="Arial" w:cs="Arial"/>
        </w:rPr>
        <w:t xml:space="preserve">Ausgestaltung </w:t>
      </w:r>
      <w:r w:rsidRPr="00BA3AC0">
        <w:rPr>
          <w:rFonts w:ascii="Arial" w:hAnsi="Arial" w:cs="Arial"/>
        </w:rPr>
        <w:t>und Moderation des Kickoff-Workshops, einschließlich Agenda, Unterlagen und Protokollierung der Ergebnisse. Das Protokoll ist dem Auftrag</w:t>
      </w:r>
      <w:r>
        <w:rPr>
          <w:rFonts w:ascii="Arial" w:hAnsi="Arial" w:cs="Arial"/>
        </w:rPr>
        <w:t>nehmer</w:t>
      </w:r>
      <w:r w:rsidRPr="00BA3AC0">
        <w:rPr>
          <w:rFonts w:ascii="Arial" w:hAnsi="Arial" w:cs="Arial"/>
        </w:rPr>
        <w:t xml:space="preserve"> innerhalb von 5 Werktagen zur Freigabe</w:t>
      </w:r>
      <w:r>
        <w:rPr>
          <w:rFonts w:ascii="Arial" w:hAnsi="Arial" w:cs="Arial"/>
        </w:rPr>
        <w:t xml:space="preserve"> und Abstimmung</w:t>
      </w:r>
      <w:r w:rsidRPr="00BA3AC0">
        <w:rPr>
          <w:rFonts w:ascii="Arial" w:hAnsi="Arial" w:cs="Arial"/>
        </w:rPr>
        <w:t xml:space="preserve"> vorzulegen. </w:t>
      </w:r>
    </w:p>
    <w:p w14:paraId="50EC5911" w14:textId="40AAA693" w:rsidR="00BA3AC0" w:rsidRPr="004149B0" w:rsidRDefault="00BA3AC0" w:rsidP="00324794">
      <w:pPr>
        <w:ind w:left="709"/>
        <w:rPr>
          <w:rFonts w:ascii="Arial" w:hAnsi="Arial" w:cs="Arial"/>
        </w:rPr>
      </w:pPr>
      <w:r w:rsidRPr="004149B0">
        <w:rPr>
          <w:rFonts w:ascii="Arial" w:hAnsi="Arial" w:cs="Arial"/>
        </w:rPr>
        <w:t xml:space="preserve">Erhält die </w:t>
      </w:r>
      <w:r>
        <w:rPr>
          <w:rFonts w:ascii="Arial" w:hAnsi="Arial" w:cs="Arial"/>
        </w:rPr>
        <w:t>TK</w:t>
      </w:r>
      <w:r w:rsidRPr="004149B0">
        <w:rPr>
          <w:rFonts w:ascii="Arial" w:hAnsi="Arial" w:cs="Arial"/>
        </w:rPr>
        <w:t xml:space="preserve"> </w:t>
      </w:r>
      <w:r w:rsidR="00645E15">
        <w:rPr>
          <w:rFonts w:ascii="Arial" w:hAnsi="Arial" w:cs="Arial"/>
        </w:rPr>
        <w:t xml:space="preserve">zehn </w:t>
      </w:r>
      <w:r w:rsidRPr="004149B0">
        <w:rPr>
          <w:rFonts w:ascii="Arial" w:hAnsi="Arial" w:cs="Arial"/>
        </w:rPr>
        <w:t>Werktage nach Eingang des Protokolls keine Rückmeldung, gilt das Protokoll als freigegeben. Die Einspruchsfrist beginnt ab Zugang des Protokolls bei</w:t>
      </w:r>
      <w:r>
        <w:rPr>
          <w:rFonts w:ascii="Arial" w:hAnsi="Arial" w:cs="Arial"/>
        </w:rPr>
        <w:t>m AN</w:t>
      </w:r>
      <w:r w:rsidRPr="004149B0">
        <w:rPr>
          <w:rFonts w:ascii="Arial" w:hAnsi="Arial" w:cs="Arial"/>
        </w:rPr>
        <w:t>.</w:t>
      </w:r>
    </w:p>
    <w:p w14:paraId="542E109F" w14:textId="224D8FF2" w:rsidR="009E3C9A" w:rsidRPr="004149B0" w:rsidRDefault="009E3C9A" w:rsidP="00324794">
      <w:pPr>
        <w:ind w:left="709"/>
        <w:rPr>
          <w:rFonts w:ascii="Arial" w:hAnsi="Arial" w:cs="Arial"/>
        </w:rPr>
      </w:pPr>
      <w:r w:rsidRPr="004149B0">
        <w:rPr>
          <w:rFonts w:ascii="Arial" w:hAnsi="Arial" w:cs="Arial"/>
        </w:rPr>
        <w:t>Am Kickoff-Workshop ha</w:t>
      </w:r>
      <w:r w:rsidR="00261903" w:rsidRPr="004149B0">
        <w:rPr>
          <w:rFonts w:ascii="Arial" w:hAnsi="Arial" w:cs="Arial"/>
        </w:rPr>
        <w:t>t</w:t>
      </w:r>
      <w:r w:rsidRPr="004149B0">
        <w:rPr>
          <w:rFonts w:ascii="Arial" w:hAnsi="Arial" w:cs="Arial"/>
        </w:rPr>
        <w:t xml:space="preserve"> seitens der AN mindestens </w:t>
      </w:r>
      <w:r w:rsidR="00261903" w:rsidRPr="004149B0">
        <w:rPr>
          <w:rFonts w:ascii="Arial" w:hAnsi="Arial" w:cs="Arial"/>
        </w:rPr>
        <w:t>eine mit der laufenden Tätigkeit vertraute Person teilzunehmen.</w:t>
      </w:r>
    </w:p>
    <w:p w14:paraId="556F1DCD" w14:textId="6FF2B5CD" w:rsidR="009E3C9A" w:rsidRPr="004149B0" w:rsidRDefault="009E3C9A" w:rsidP="00324794">
      <w:pPr>
        <w:autoSpaceDE w:val="0"/>
        <w:autoSpaceDN w:val="0"/>
        <w:adjustRightInd w:val="0"/>
        <w:spacing w:before="120" w:after="120"/>
        <w:ind w:left="709"/>
        <w:rPr>
          <w:rFonts w:ascii="Arial" w:hAnsi="Arial" w:cs="Arial"/>
        </w:rPr>
      </w:pPr>
      <w:r w:rsidRPr="004149B0">
        <w:rPr>
          <w:rFonts w:ascii="Arial" w:hAnsi="Arial" w:cs="Arial"/>
        </w:rPr>
        <w:t>Die Ergebnisse des Kickoff-Workshops sind von de</w:t>
      </w:r>
      <w:r w:rsidR="004149B0">
        <w:rPr>
          <w:rFonts w:ascii="Arial" w:hAnsi="Arial" w:cs="Arial"/>
        </w:rPr>
        <w:t>m</w:t>
      </w:r>
      <w:r w:rsidRPr="004149B0">
        <w:rPr>
          <w:rFonts w:ascii="Arial" w:hAnsi="Arial" w:cs="Arial"/>
        </w:rPr>
        <w:t xml:space="preserve"> AN</w:t>
      </w:r>
      <w:r w:rsidR="006E3570" w:rsidRPr="004149B0">
        <w:rPr>
          <w:rFonts w:ascii="Arial" w:hAnsi="Arial" w:cs="Arial"/>
        </w:rPr>
        <w:t xml:space="preserve"> und</w:t>
      </w:r>
      <w:r w:rsidR="004149B0">
        <w:rPr>
          <w:rFonts w:ascii="Arial" w:hAnsi="Arial" w:cs="Arial"/>
        </w:rPr>
        <w:t xml:space="preserve"> der </w:t>
      </w:r>
      <w:r w:rsidR="006E3570" w:rsidRPr="004149B0">
        <w:rPr>
          <w:rFonts w:ascii="Arial" w:hAnsi="Arial" w:cs="Arial"/>
        </w:rPr>
        <w:t>TK</w:t>
      </w:r>
      <w:r w:rsidRPr="004149B0">
        <w:rPr>
          <w:rFonts w:ascii="Arial" w:hAnsi="Arial" w:cs="Arial"/>
        </w:rPr>
        <w:t xml:space="preserve"> </w:t>
      </w:r>
      <w:r w:rsidR="00923411" w:rsidRPr="004149B0">
        <w:rPr>
          <w:rFonts w:ascii="Arial" w:hAnsi="Arial" w:cs="Arial"/>
        </w:rPr>
        <w:t>gemäß dem abgestimmten Protokoll</w:t>
      </w:r>
      <w:r w:rsidRPr="004149B0">
        <w:rPr>
          <w:rFonts w:ascii="Arial" w:hAnsi="Arial" w:cs="Arial"/>
        </w:rPr>
        <w:t xml:space="preserve"> umzusetzen</w:t>
      </w:r>
      <w:r w:rsidR="00261903" w:rsidRPr="004149B0">
        <w:rPr>
          <w:rFonts w:ascii="Arial" w:hAnsi="Arial" w:cs="Arial"/>
        </w:rPr>
        <w:t>.</w:t>
      </w:r>
    </w:p>
    <w:bookmarkEnd w:id="0"/>
    <w:p w14:paraId="78D6DCF8" w14:textId="77777777" w:rsidR="008D7704" w:rsidRPr="00680C02" w:rsidRDefault="008D7704" w:rsidP="00E33FD3">
      <w:pPr>
        <w:pStyle w:val="Listenabsatz"/>
        <w:ind w:left="795"/>
      </w:pPr>
    </w:p>
    <w:p w14:paraId="12EDEA66" w14:textId="489C7B15" w:rsidR="00556412" w:rsidRPr="00556412" w:rsidRDefault="00556412" w:rsidP="00556412">
      <w:pPr>
        <w:pStyle w:val="berschrift2"/>
        <w:numPr>
          <w:ilvl w:val="1"/>
          <w:numId w:val="4"/>
        </w:numPr>
      </w:pPr>
      <w:r>
        <w:t>Personaleinsatz</w:t>
      </w:r>
    </w:p>
    <w:p w14:paraId="1AD2AB49" w14:textId="2B6E84FE" w:rsidR="00556412" w:rsidRDefault="00556412" w:rsidP="00556412">
      <w:pPr>
        <w:pStyle w:val="Listenabsatz"/>
        <w:ind w:left="709"/>
        <w:rPr>
          <w:rFonts w:ascii="Arial" w:hAnsi="Arial" w:cs="Arial"/>
        </w:rPr>
      </w:pPr>
      <w:r>
        <w:rPr>
          <w:rFonts w:ascii="Arial" w:hAnsi="Arial" w:cs="Arial"/>
        </w:rPr>
        <w:t xml:space="preserve">Der AN stellt für die TK eine zentrale, deutschsprachige Anlaufstelle bereit und benennt </w:t>
      </w:r>
      <w:r w:rsidR="000705A1">
        <w:rPr>
          <w:rFonts w:ascii="Arial" w:hAnsi="Arial" w:cs="Arial"/>
        </w:rPr>
        <w:t xml:space="preserve">einen „Single </w:t>
      </w:r>
      <w:proofErr w:type="spellStart"/>
      <w:r w:rsidR="000705A1">
        <w:rPr>
          <w:rFonts w:ascii="Arial" w:hAnsi="Arial" w:cs="Arial"/>
        </w:rPr>
        <w:t>point</w:t>
      </w:r>
      <w:proofErr w:type="spellEnd"/>
      <w:r w:rsidR="000705A1">
        <w:rPr>
          <w:rFonts w:ascii="Arial" w:hAnsi="Arial" w:cs="Arial"/>
        </w:rPr>
        <w:t xml:space="preserve"> </w:t>
      </w:r>
      <w:proofErr w:type="spellStart"/>
      <w:r w:rsidR="000705A1">
        <w:rPr>
          <w:rFonts w:ascii="Arial" w:hAnsi="Arial" w:cs="Arial"/>
        </w:rPr>
        <w:t>of</w:t>
      </w:r>
      <w:proofErr w:type="spellEnd"/>
      <w:r w:rsidR="000705A1">
        <w:rPr>
          <w:rFonts w:ascii="Arial" w:hAnsi="Arial" w:cs="Arial"/>
        </w:rPr>
        <w:t xml:space="preserve"> </w:t>
      </w:r>
      <w:proofErr w:type="spellStart"/>
      <w:r w:rsidR="000705A1">
        <w:rPr>
          <w:rFonts w:ascii="Arial" w:hAnsi="Arial" w:cs="Arial"/>
        </w:rPr>
        <w:t>contact</w:t>
      </w:r>
      <w:proofErr w:type="spellEnd"/>
      <w:r w:rsidR="000705A1">
        <w:rPr>
          <w:rFonts w:ascii="Arial" w:hAnsi="Arial" w:cs="Arial"/>
        </w:rPr>
        <w:t>“</w:t>
      </w:r>
      <w:r>
        <w:rPr>
          <w:rFonts w:ascii="Arial" w:hAnsi="Arial" w:cs="Arial"/>
        </w:rPr>
        <w:t xml:space="preserve"> für die </w:t>
      </w:r>
      <w:r w:rsidR="004F729E">
        <w:rPr>
          <w:rFonts w:ascii="Arial" w:hAnsi="Arial" w:cs="Arial"/>
        </w:rPr>
        <w:t xml:space="preserve">erste </w:t>
      </w:r>
      <w:r>
        <w:rPr>
          <w:rFonts w:ascii="Arial" w:hAnsi="Arial" w:cs="Arial"/>
        </w:rPr>
        <w:t xml:space="preserve">Kontaktaufnahme der TK. Diese zentrale Stelle übernimmt die Koordination aller fallbezogenen und übergeordneten Themen beim AN. Die gesamte Kommunikation hat </w:t>
      </w:r>
      <w:r w:rsidR="004F729E">
        <w:rPr>
          <w:rFonts w:ascii="Arial" w:hAnsi="Arial" w:cs="Arial"/>
        </w:rPr>
        <w:t xml:space="preserve">vorrangig </w:t>
      </w:r>
      <w:r>
        <w:rPr>
          <w:rFonts w:ascii="Arial" w:hAnsi="Arial" w:cs="Arial"/>
        </w:rPr>
        <w:t>in deutscher Sprache zu erfolgen.</w:t>
      </w:r>
    </w:p>
    <w:p w14:paraId="1F01CC24" w14:textId="77777777" w:rsidR="00556412" w:rsidRDefault="00556412" w:rsidP="00556412">
      <w:pPr>
        <w:pStyle w:val="Listenabsatz"/>
        <w:ind w:left="709"/>
        <w:rPr>
          <w:rFonts w:ascii="Arial" w:hAnsi="Arial" w:cs="Arial"/>
        </w:rPr>
      </w:pPr>
    </w:p>
    <w:p w14:paraId="230140EB" w14:textId="77777777" w:rsidR="00556412" w:rsidRDefault="00556412" w:rsidP="00556412">
      <w:pPr>
        <w:pStyle w:val="Listenabsatz"/>
        <w:ind w:left="709"/>
        <w:rPr>
          <w:rFonts w:ascii="Arial" w:hAnsi="Arial" w:cs="Arial"/>
        </w:rPr>
      </w:pPr>
      <w:r w:rsidRPr="007F2FEE">
        <w:rPr>
          <w:rFonts w:ascii="Arial" w:hAnsi="Arial" w:cs="Arial"/>
        </w:rPr>
        <w:t xml:space="preserve">Des Weiteren sind Mitarbeitende in leitender Funktion zu benennen, die bedarfsorientiert bei schwerwiegenden Störungen oder grundlegenden Sachverhalten </w:t>
      </w:r>
      <w:r>
        <w:rPr>
          <w:rFonts w:ascii="Arial" w:hAnsi="Arial" w:cs="Arial"/>
        </w:rPr>
        <w:t>e</w:t>
      </w:r>
      <w:r w:rsidRPr="007F2FEE">
        <w:rPr>
          <w:rFonts w:ascii="Arial" w:hAnsi="Arial" w:cs="Arial"/>
        </w:rPr>
        <w:t>ntscheidungsbefug</w:t>
      </w:r>
      <w:r>
        <w:rPr>
          <w:rFonts w:ascii="Arial" w:hAnsi="Arial" w:cs="Arial"/>
        </w:rPr>
        <w:t xml:space="preserve">t sind. </w:t>
      </w:r>
    </w:p>
    <w:p w14:paraId="06C667D3" w14:textId="77777777" w:rsidR="004F729E" w:rsidRDefault="004F729E" w:rsidP="00556412">
      <w:pPr>
        <w:pStyle w:val="Listenabsatz"/>
        <w:ind w:left="709"/>
        <w:rPr>
          <w:rFonts w:ascii="Arial" w:hAnsi="Arial" w:cs="Arial"/>
        </w:rPr>
      </w:pPr>
    </w:p>
    <w:p w14:paraId="085C7DC0" w14:textId="2705E097" w:rsidR="00556412" w:rsidRPr="004F729E" w:rsidRDefault="004F729E" w:rsidP="004F729E">
      <w:pPr>
        <w:pStyle w:val="berschrift2"/>
        <w:numPr>
          <w:ilvl w:val="1"/>
          <w:numId w:val="4"/>
        </w:numPr>
        <w:rPr>
          <w:rFonts w:ascii="Arial" w:hAnsi="Arial" w:cs="Arial"/>
        </w:rPr>
      </w:pPr>
      <w:r w:rsidRPr="004F729E">
        <w:t>Information</w:t>
      </w:r>
      <w:r>
        <w:t>saustausch</w:t>
      </w:r>
    </w:p>
    <w:p w14:paraId="7B15A5B9" w14:textId="627B3AA5" w:rsidR="004F729E" w:rsidRDefault="00556412" w:rsidP="00556412">
      <w:pPr>
        <w:pStyle w:val="Listenabsatz"/>
        <w:rPr>
          <w:rFonts w:ascii="Arial" w:hAnsi="Arial" w:cs="Arial"/>
        </w:rPr>
      </w:pPr>
      <w:r>
        <w:rPr>
          <w:rFonts w:ascii="Arial" w:hAnsi="Arial" w:cs="Arial"/>
        </w:rPr>
        <w:t xml:space="preserve">Zwischen dem AN und der TK findet jährlich ein Gespräch zur Evaluation der bisherigen Zusammenarbeit und zur Abstimmung der Prozesse statt. Das Evaluationsgespräch kann online stattfinden. </w:t>
      </w:r>
      <w:r w:rsidR="00B00319">
        <w:rPr>
          <w:rFonts w:ascii="Arial" w:hAnsi="Arial" w:cs="Arial"/>
        </w:rPr>
        <w:t>An dem Gespräch muss eine mit der laufenden Tätigkeit vertraute Person</w:t>
      </w:r>
      <w:r w:rsidR="002206B3">
        <w:rPr>
          <w:rFonts w:ascii="Arial" w:hAnsi="Arial" w:cs="Arial"/>
        </w:rPr>
        <w:t xml:space="preserve"> </w:t>
      </w:r>
      <w:r w:rsidR="00B00319">
        <w:rPr>
          <w:rFonts w:ascii="Arial" w:hAnsi="Arial" w:cs="Arial"/>
        </w:rPr>
        <w:t xml:space="preserve">teilnehmen. </w:t>
      </w:r>
    </w:p>
    <w:p w14:paraId="3D589976" w14:textId="77777777" w:rsidR="004F729E" w:rsidRDefault="004F729E" w:rsidP="00556412">
      <w:pPr>
        <w:pStyle w:val="Listenabsatz"/>
        <w:rPr>
          <w:rFonts w:ascii="Arial" w:hAnsi="Arial" w:cs="Arial"/>
        </w:rPr>
      </w:pPr>
    </w:p>
    <w:p w14:paraId="659C4F95" w14:textId="4067D1F6" w:rsidR="00556412" w:rsidRDefault="00034773" w:rsidP="00556412">
      <w:pPr>
        <w:pStyle w:val="Listenabsatz"/>
        <w:rPr>
          <w:rFonts w:ascii="Arial" w:hAnsi="Arial" w:cs="Arial"/>
        </w:rPr>
      </w:pPr>
      <w:r>
        <w:rPr>
          <w:rFonts w:ascii="Arial" w:hAnsi="Arial" w:cs="Arial"/>
        </w:rPr>
        <w:t xml:space="preserve">Es werden </w:t>
      </w:r>
      <w:r w:rsidR="004F729E">
        <w:rPr>
          <w:rFonts w:ascii="Arial" w:hAnsi="Arial" w:cs="Arial"/>
        </w:rPr>
        <w:t>länderspezifische und relevante Änderungen/Neuigkeiten</w:t>
      </w:r>
      <w:r w:rsidR="00556412">
        <w:rPr>
          <w:rFonts w:ascii="Arial" w:hAnsi="Arial" w:cs="Arial"/>
        </w:rPr>
        <w:t xml:space="preserve"> </w:t>
      </w:r>
      <w:r w:rsidR="00556412" w:rsidRPr="00D37EB6">
        <w:rPr>
          <w:rFonts w:ascii="Arial" w:hAnsi="Arial" w:cs="Arial"/>
        </w:rPr>
        <w:t xml:space="preserve">(z.B. </w:t>
      </w:r>
      <w:r w:rsidR="004F729E">
        <w:rPr>
          <w:rFonts w:ascii="Arial" w:hAnsi="Arial" w:cs="Arial"/>
        </w:rPr>
        <w:t xml:space="preserve">über </w:t>
      </w:r>
      <w:r w:rsidR="00556412" w:rsidRPr="00D37EB6">
        <w:rPr>
          <w:rFonts w:ascii="Arial" w:hAnsi="Arial" w:cs="Arial"/>
        </w:rPr>
        <w:t>Rechtsprechung, Gesetzesänderungen</w:t>
      </w:r>
      <w:r w:rsidR="00556412">
        <w:rPr>
          <w:rFonts w:ascii="Arial" w:hAnsi="Arial" w:cs="Arial"/>
        </w:rPr>
        <w:t xml:space="preserve">; </w:t>
      </w:r>
      <w:r w:rsidR="00556412" w:rsidRPr="009F1289">
        <w:rPr>
          <w:rFonts w:ascii="Arial" w:hAnsi="Arial" w:cs="Arial"/>
        </w:rPr>
        <w:t>Verjährungsfristen)</w:t>
      </w:r>
      <w:r w:rsidR="00556412" w:rsidRPr="00B444A6">
        <w:rPr>
          <w:rFonts w:ascii="Arial" w:hAnsi="Arial" w:cs="Arial"/>
        </w:rPr>
        <w:t xml:space="preserve"> </w:t>
      </w:r>
      <w:r w:rsidR="00556412" w:rsidRPr="00D37EB6">
        <w:rPr>
          <w:rFonts w:ascii="Arial" w:hAnsi="Arial" w:cs="Arial"/>
        </w:rPr>
        <w:t xml:space="preserve">und eine Übersicht der aktuell beim AN bearbeiteten Fälle </w:t>
      </w:r>
      <w:r w:rsidR="004F729E">
        <w:rPr>
          <w:rFonts w:ascii="Arial" w:hAnsi="Arial" w:cs="Arial"/>
        </w:rPr>
        <w:t>präsentiert</w:t>
      </w:r>
      <w:r w:rsidR="00556412" w:rsidRPr="00D37EB6">
        <w:rPr>
          <w:rFonts w:ascii="Arial" w:hAnsi="Arial" w:cs="Arial"/>
        </w:rPr>
        <w:t>.</w:t>
      </w:r>
      <w:r w:rsidR="00556412">
        <w:rPr>
          <w:rFonts w:ascii="Arial" w:hAnsi="Arial" w:cs="Arial"/>
        </w:rPr>
        <w:t xml:space="preserve"> </w:t>
      </w:r>
      <w:r w:rsidR="00863117">
        <w:rPr>
          <w:rFonts w:ascii="Arial" w:hAnsi="Arial" w:cs="Arial"/>
        </w:rPr>
        <w:t xml:space="preserve">Bei Bedarf kann der </w:t>
      </w:r>
      <w:r w:rsidR="00556412">
        <w:rPr>
          <w:rFonts w:ascii="Arial" w:hAnsi="Arial" w:cs="Arial"/>
        </w:rPr>
        <w:t>AN zusätzlich</w:t>
      </w:r>
      <w:r w:rsidR="00556412">
        <w:rPr>
          <w:rFonts w:ascii="Arial" w:hAnsi="Arial" w:cs="Arial"/>
          <w:color w:val="196B24" w:themeColor="accent3"/>
        </w:rPr>
        <w:t xml:space="preserve"> </w:t>
      </w:r>
      <w:r w:rsidR="00556412">
        <w:rPr>
          <w:rFonts w:ascii="Arial" w:hAnsi="Arial" w:cs="Arial"/>
        </w:rPr>
        <w:t>l</w:t>
      </w:r>
      <w:r w:rsidR="00556412" w:rsidRPr="00C52B32">
        <w:rPr>
          <w:rFonts w:ascii="Arial" w:hAnsi="Arial" w:cs="Arial"/>
        </w:rPr>
        <w:t xml:space="preserve">änderspezifische Schulungen im Fachzentrum der TK </w:t>
      </w:r>
      <w:r w:rsidR="00556412">
        <w:rPr>
          <w:rFonts w:ascii="Arial" w:hAnsi="Arial" w:cs="Arial"/>
        </w:rPr>
        <w:t xml:space="preserve">in Präsenz oder </w:t>
      </w:r>
      <w:r w:rsidR="00556412" w:rsidRPr="00C52B32">
        <w:rPr>
          <w:rFonts w:ascii="Arial" w:hAnsi="Arial" w:cs="Arial"/>
        </w:rPr>
        <w:t>digital</w:t>
      </w:r>
      <w:r w:rsidR="00556412">
        <w:rPr>
          <w:rFonts w:ascii="Arial" w:hAnsi="Arial" w:cs="Arial"/>
        </w:rPr>
        <w:t xml:space="preserve"> </w:t>
      </w:r>
      <w:r w:rsidR="00863117">
        <w:rPr>
          <w:rFonts w:ascii="Arial" w:hAnsi="Arial" w:cs="Arial"/>
        </w:rPr>
        <w:t>anbieten</w:t>
      </w:r>
      <w:r w:rsidR="00556412" w:rsidRPr="00C52B32">
        <w:rPr>
          <w:rFonts w:ascii="Arial" w:hAnsi="Arial" w:cs="Arial"/>
        </w:rPr>
        <w:t xml:space="preserve">. </w:t>
      </w:r>
    </w:p>
    <w:p w14:paraId="2E0FC4C5" w14:textId="172C9109" w:rsidR="00556412" w:rsidRPr="00556412" w:rsidRDefault="00556412" w:rsidP="00556412">
      <w:pPr>
        <w:pStyle w:val="berschrift2"/>
        <w:numPr>
          <w:ilvl w:val="1"/>
          <w:numId w:val="4"/>
        </w:numPr>
      </w:pPr>
      <w:r>
        <w:t>Berichtswesen/Reporting</w:t>
      </w:r>
    </w:p>
    <w:p w14:paraId="256535B5" w14:textId="77777777" w:rsidR="00747E59" w:rsidRDefault="00B61D20" w:rsidP="00747E59">
      <w:pPr>
        <w:ind w:left="709"/>
        <w:rPr>
          <w:rFonts w:ascii="Arial" w:hAnsi="Arial" w:cs="Arial"/>
        </w:rPr>
      </w:pPr>
      <w:r w:rsidRPr="00B61D20">
        <w:rPr>
          <w:rFonts w:ascii="Arial" w:hAnsi="Arial" w:cs="Arial"/>
        </w:rPr>
        <w:t xml:space="preserve">Für die Erteilung von Auskünften und die Abgabe von Empfehlungen muss ein Berichtswesen vorgehalten werden. </w:t>
      </w:r>
    </w:p>
    <w:p w14:paraId="1D345986" w14:textId="7585F0AD" w:rsidR="00747E59" w:rsidRPr="00747E59" w:rsidRDefault="00747E59" w:rsidP="00747E59">
      <w:pPr>
        <w:ind w:left="709"/>
        <w:rPr>
          <w:rFonts w:ascii="Arial" w:hAnsi="Arial" w:cs="Arial"/>
        </w:rPr>
      </w:pPr>
      <w:r w:rsidRPr="00747E59">
        <w:rPr>
          <w:rFonts w:ascii="Arial" w:hAnsi="Arial" w:cs="Arial"/>
        </w:rPr>
        <w:t xml:space="preserve">Der AN übersendet der TK quartalsweise einen kostenfreien Report über alle offenen </w:t>
      </w:r>
      <w:r w:rsidR="00034773">
        <w:rPr>
          <w:rFonts w:ascii="Arial" w:hAnsi="Arial" w:cs="Arial"/>
        </w:rPr>
        <w:t xml:space="preserve">und beendeten </w:t>
      </w:r>
      <w:r w:rsidRPr="00747E59">
        <w:rPr>
          <w:rFonts w:ascii="Arial" w:hAnsi="Arial" w:cs="Arial"/>
        </w:rPr>
        <w:t xml:space="preserve">Fälle. Ein entsprechendes Muster stimmen die TK und der AN nach Zuschlagserteilung im „Kick-Off Termin“ ab. </w:t>
      </w:r>
    </w:p>
    <w:p w14:paraId="7C5B1CC7" w14:textId="77777777" w:rsidR="00747E59" w:rsidRPr="00747E59" w:rsidRDefault="00747E59" w:rsidP="00747E59">
      <w:pPr>
        <w:ind w:left="709"/>
        <w:rPr>
          <w:rFonts w:ascii="Arial" w:hAnsi="Arial" w:cs="Arial"/>
        </w:rPr>
      </w:pPr>
      <w:r w:rsidRPr="00747E59">
        <w:rPr>
          <w:rFonts w:ascii="Arial" w:hAnsi="Arial" w:cs="Arial"/>
        </w:rPr>
        <w:t>Der Report muss mindestens folgende Fakten beinhalten:</w:t>
      </w:r>
    </w:p>
    <w:p w14:paraId="4E6BF9D9"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Fallnummer</w:t>
      </w:r>
    </w:p>
    <w:p w14:paraId="1F5CE7E7"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Streitwert</w:t>
      </w:r>
    </w:p>
    <w:p w14:paraId="4A395C3D"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Land</w:t>
      </w:r>
    </w:p>
    <w:p w14:paraId="15946967"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Ersteinschätzung erfolgt? (Ja/Nein)</w:t>
      </w:r>
    </w:p>
    <w:p w14:paraId="799C54B4"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Aktueller Status</w:t>
      </w:r>
    </w:p>
    <w:p w14:paraId="7D6A77BF" w14:textId="77777777" w:rsidR="00747E59" w:rsidRP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Letzte Korrespondenz</w:t>
      </w:r>
    </w:p>
    <w:p w14:paraId="0020FDB2" w14:textId="04E349B1" w:rsidR="00747E59" w:rsidRDefault="00747E59" w:rsidP="00747E59">
      <w:pPr>
        <w:spacing w:after="0"/>
        <w:ind w:left="709"/>
        <w:rPr>
          <w:rFonts w:ascii="Arial" w:hAnsi="Arial" w:cs="Arial"/>
        </w:rPr>
      </w:pPr>
      <w:r w:rsidRPr="00747E59">
        <w:rPr>
          <w:rFonts w:ascii="Arial" w:hAnsi="Arial" w:cs="Arial"/>
        </w:rPr>
        <w:t>•</w:t>
      </w:r>
      <w:r w:rsidRPr="00747E59">
        <w:rPr>
          <w:rFonts w:ascii="Arial" w:hAnsi="Arial" w:cs="Arial"/>
        </w:rPr>
        <w:tab/>
        <w:t>Bisher angefallene externe Kosten</w:t>
      </w:r>
    </w:p>
    <w:p w14:paraId="0984E448" w14:textId="77777777" w:rsidR="00747E59" w:rsidRPr="00747E59" w:rsidRDefault="00747E59" w:rsidP="00747E59">
      <w:pPr>
        <w:spacing w:after="0"/>
        <w:ind w:left="709"/>
        <w:rPr>
          <w:rFonts w:ascii="Arial" w:hAnsi="Arial" w:cs="Arial"/>
        </w:rPr>
      </w:pPr>
    </w:p>
    <w:p w14:paraId="2360B5A4" w14:textId="0CB14998" w:rsidR="00747E59" w:rsidRDefault="00747E59" w:rsidP="00747E59">
      <w:pPr>
        <w:ind w:left="709"/>
        <w:rPr>
          <w:rFonts w:ascii="Arial" w:hAnsi="Arial" w:cs="Arial"/>
        </w:rPr>
      </w:pPr>
      <w:r w:rsidRPr="00747E59">
        <w:rPr>
          <w:rFonts w:ascii="Arial" w:hAnsi="Arial" w:cs="Arial"/>
        </w:rPr>
        <w:t>Eine kostenfreie Erweiterung des Reports ist jederzeit nach beiderseitiger Abstimmung möglich.</w:t>
      </w:r>
    </w:p>
    <w:p w14:paraId="024F5254" w14:textId="394152A0" w:rsidR="00B61D20" w:rsidRPr="00B61D20" w:rsidRDefault="00B61D20" w:rsidP="00B61D20">
      <w:pPr>
        <w:ind w:left="709"/>
        <w:rPr>
          <w:rFonts w:ascii="Arial" w:hAnsi="Arial" w:cs="Arial"/>
        </w:rPr>
      </w:pPr>
      <w:r w:rsidRPr="00B61D20">
        <w:rPr>
          <w:rFonts w:ascii="Arial" w:hAnsi="Arial" w:cs="Arial"/>
        </w:rPr>
        <w:t>Der TK wird das Recht eingeräumt, jederzeit nach vorheriger Ankündigung die Unterlagen (Fallakte etc.) einzusehen und sich Unterlagen übermitteln zu lassen. Die Aufbewahrung der Schadenunterlagen ist vom AN entsprechend der landesüblichen Dauer zu gewährleisten.</w:t>
      </w:r>
    </w:p>
    <w:p w14:paraId="5368C594" w14:textId="77777777" w:rsidR="00556412" w:rsidRDefault="00556412" w:rsidP="00556412">
      <w:pPr>
        <w:pStyle w:val="Listenabsatz"/>
        <w:rPr>
          <w:rFonts w:ascii="Arial" w:hAnsi="Arial" w:cs="Arial"/>
        </w:rPr>
      </w:pPr>
    </w:p>
    <w:p w14:paraId="5A110CF8" w14:textId="4AC163FF" w:rsidR="00747E59" w:rsidRPr="00747E59" w:rsidRDefault="00747E59" w:rsidP="00747E59">
      <w:pPr>
        <w:tabs>
          <w:tab w:val="left" w:pos="1532"/>
        </w:tabs>
        <w:ind w:left="709"/>
        <w:rPr>
          <w:rFonts w:ascii="Arial" w:hAnsi="Arial" w:cs="Arial"/>
          <w:i/>
          <w:iCs/>
        </w:rPr>
      </w:pPr>
    </w:p>
    <w:sectPr w:rsidR="00747E59" w:rsidRPr="00747E59" w:rsidSect="0092341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D413" w14:textId="77777777" w:rsidR="001F42DB" w:rsidRDefault="001F42DB" w:rsidP="001F42DB">
      <w:pPr>
        <w:spacing w:after="0" w:line="240" w:lineRule="auto"/>
      </w:pPr>
      <w:r>
        <w:separator/>
      </w:r>
    </w:p>
  </w:endnote>
  <w:endnote w:type="continuationSeparator" w:id="0">
    <w:p w14:paraId="524415CA" w14:textId="77777777" w:rsidR="001F42DB" w:rsidRDefault="001F42DB" w:rsidP="001F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D911" w14:textId="7BBAA39C" w:rsidR="001F42DB" w:rsidRPr="009D1AE5" w:rsidRDefault="001F42DB" w:rsidP="001F42DB">
    <w:pPr>
      <w:pStyle w:val="Fuzeile"/>
      <w:jc w:val="right"/>
      <w:rPr>
        <w:rFonts w:cs="Arial"/>
      </w:rPr>
    </w:pPr>
    <w:r w:rsidRPr="001F42DB">
      <w:rPr>
        <w:rFonts w:cs="Arial"/>
      </w:rPr>
      <w:t>25-08591</w:t>
    </w:r>
    <w:r w:rsidRPr="003405EE">
      <w:rPr>
        <w:rFonts w:cs="Arial"/>
        <w:szCs w:val="18"/>
      </w:rPr>
      <w:tab/>
    </w:r>
    <w:r w:rsidRPr="001F42DB">
      <w:rPr>
        <w:rFonts w:cs="Arial"/>
      </w:rPr>
      <w:t>Schadensregulierung im Ausland</w:t>
    </w:r>
    <w:r w:rsidRPr="003405EE">
      <w:rPr>
        <w:rFonts w:cs="Arial"/>
        <w:szCs w:val="18"/>
      </w:rPr>
      <w:tab/>
    </w:r>
    <w:r w:rsidRPr="009D1AE5">
      <w:rPr>
        <w:rFonts w:cs="Arial"/>
      </w:rPr>
      <w:t xml:space="preserve">Seite </w:t>
    </w:r>
    <w:r w:rsidRPr="00312DFF">
      <w:rPr>
        <w:rFonts w:cs="Arial"/>
      </w:rPr>
      <w:fldChar w:fldCharType="begin"/>
    </w:r>
    <w:r w:rsidRPr="003405EE">
      <w:rPr>
        <w:rFonts w:cs="Arial"/>
        <w:szCs w:val="18"/>
      </w:rPr>
      <w:instrText>PAGE</w:instrText>
    </w:r>
    <w:r w:rsidRPr="00312DFF">
      <w:rPr>
        <w:rFonts w:cs="Arial"/>
        <w:szCs w:val="18"/>
      </w:rPr>
      <w:fldChar w:fldCharType="separate"/>
    </w:r>
    <w:r>
      <w:rPr>
        <w:rFonts w:cs="Arial"/>
        <w:szCs w:val="18"/>
      </w:rPr>
      <w:t>1</w:t>
    </w:r>
    <w:r w:rsidRPr="00312DFF">
      <w:rPr>
        <w:rFonts w:cs="Arial"/>
      </w:rPr>
      <w:fldChar w:fldCharType="end"/>
    </w:r>
    <w:r w:rsidRPr="009D1AE5">
      <w:rPr>
        <w:rFonts w:cs="Arial"/>
      </w:rPr>
      <w:t xml:space="preserve"> von </w:t>
    </w:r>
    <w:r w:rsidRPr="00312DFF">
      <w:rPr>
        <w:rFonts w:cs="Arial"/>
      </w:rPr>
      <w:fldChar w:fldCharType="begin"/>
    </w:r>
    <w:r w:rsidRPr="003405EE">
      <w:rPr>
        <w:rFonts w:cs="Arial"/>
        <w:szCs w:val="18"/>
      </w:rPr>
      <w:instrText>NUMPAGES</w:instrText>
    </w:r>
    <w:r w:rsidRPr="00312DFF">
      <w:rPr>
        <w:rFonts w:cs="Arial"/>
        <w:szCs w:val="18"/>
      </w:rPr>
      <w:fldChar w:fldCharType="separate"/>
    </w:r>
    <w:r>
      <w:rPr>
        <w:rFonts w:cs="Arial"/>
        <w:szCs w:val="18"/>
      </w:rPr>
      <w:t>13</w:t>
    </w:r>
    <w:r w:rsidRPr="00312DFF">
      <w:rPr>
        <w:rFonts w:cs="Arial"/>
      </w:rPr>
      <w:fldChar w:fldCharType="end"/>
    </w:r>
  </w:p>
  <w:p w14:paraId="18F69B8C" w14:textId="77777777" w:rsidR="001F42DB" w:rsidRDefault="001F42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4B6E" w14:textId="77777777" w:rsidR="001F42DB" w:rsidRDefault="001F42DB" w:rsidP="001F42DB">
      <w:pPr>
        <w:spacing w:after="0" w:line="240" w:lineRule="auto"/>
      </w:pPr>
      <w:r>
        <w:separator/>
      </w:r>
    </w:p>
  </w:footnote>
  <w:footnote w:type="continuationSeparator" w:id="0">
    <w:p w14:paraId="69572E7A" w14:textId="77777777" w:rsidR="001F42DB" w:rsidRDefault="001F42DB" w:rsidP="001F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EE0B" w14:textId="4B44D034" w:rsidR="001F42DB" w:rsidRDefault="001F42DB" w:rsidP="001F42DB">
    <w:pPr>
      <w:pStyle w:val="Kopfzeile"/>
      <w:tabs>
        <w:tab w:val="clear" w:pos="4536"/>
        <w:tab w:val="clear" w:pos="9072"/>
        <w:tab w:val="left" w:pos="8064"/>
      </w:tabs>
      <w:jc w:val="right"/>
    </w:pPr>
    <w:r>
      <w:tab/>
    </w:r>
    <w:r>
      <w:rPr>
        <w:noProof/>
      </w:rPr>
      <w:drawing>
        <wp:inline distT="0" distB="0" distL="0" distR="0" wp14:anchorId="18131768" wp14:editId="5D777809">
          <wp:extent cx="939165" cy="932815"/>
          <wp:effectExtent l="0" t="0" r="0" b="635"/>
          <wp:docPr id="18907524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042"/>
    <w:multiLevelType w:val="multilevel"/>
    <w:tmpl w:val="FAC892CE"/>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06FE9"/>
    <w:multiLevelType w:val="multilevel"/>
    <w:tmpl w:val="C290C7F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2" w15:restartNumberingAfterBreak="0">
    <w:nsid w:val="354553B8"/>
    <w:multiLevelType w:val="multilevel"/>
    <w:tmpl w:val="28606C6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770F9C"/>
    <w:multiLevelType w:val="multilevel"/>
    <w:tmpl w:val="0FF6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E045D"/>
    <w:multiLevelType w:val="multilevel"/>
    <w:tmpl w:val="A40AA97E"/>
    <w:lvl w:ilvl="0">
      <w:start w:val="1"/>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1155" w:hanging="108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515" w:hanging="1440"/>
      </w:pPr>
      <w:rPr>
        <w:rFonts w:hint="default"/>
      </w:rPr>
    </w:lvl>
    <w:lvl w:ilvl="5">
      <w:start w:val="1"/>
      <w:numFmt w:val="decimal"/>
      <w:isLgl/>
      <w:lvlText w:val="%1.%2.%3.%4.%5.%6."/>
      <w:lvlJc w:val="left"/>
      <w:pPr>
        <w:ind w:left="1875" w:hanging="180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2235" w:hanging="2160"/>
      </w:pPr>
      <w:rPr>
        <w:rFonts w:hint="default"/>
      </w:rPr>
    </w:lvl>
    <w:lvl w:ilvl="8">
      <w:start w:val="1"/>
      <w:numFmt w:val="decimal"/>
      <w:isLgl/>
      <w:lvlText w:val="%1.%2.%3.%4.%5.%6.%7.%8.%9."/>
      <w:lvlJc w:val="left"/>
      <w:pPr>
        <w:ind w:left="2595" w:hanging="2520"/>
      </w:pPr>
      <w:rPr>
        <w:rFonts w:hint="default"/>
      </w:rPr>
    </w:lvl>
  </w:abstractNum>
  <w:num w:numId="1" w16cid:durableId="557715661">
    <w:abstractNumId w:val="4"/>
  </w:num>
  <w:num w:numId="2" w16cid:durableId="2036953249">
    <w:abstractNumId w:val="0"/>
  </w:num>
  <w:num w:numId="3" w16cid:durableId="782925275">
    <w:abstractNumId w:val="2"/>
  </w:num>
  <w:num w:numId="4" w16cid:durableId="1337075682">
    <w:abstractNumId w:val="1"/>
  </w:num>
  <w:num w:numId="5" w16cid:durableId="111675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D2"/>
    <w:rsid w:val="00034773"/>
    <w:rsid w:val="000705A1"/>
    <w:rsid w:val="0007700F"/>
    <w:rsid w:val="0009279F"/>
    <w:rsid w:val="000D02F5"/>
    <w:rsid w:val="000F2A7F"/>
    <w:rsid w:val="0010113A"/>
    <w:rsid w:val="00131049"/>
    <w:rsid w:val="00185B53"/>
    <w:rsid w:val="001F42DB"/>
    <w:rsid w:val="002206B3"/>
    <w:rsid w:val="00261903"/>
    <w:rsid w:val="002621BF"/>
    <w:rsid w:val="00270302"/>
    <w:rsid w:val="002A2B39"/>
    <w:rsid w:val="002D31FC"/>
    <w:rsid w:val="002F5A4A"/>
    <w:rsid w:val="00321F54"/>
    <w:rsid w:val="00324794"/>
    <w:rsid w:val="003A77E9"/>
    <w:rsid w:val="003B64B6"/>
    <w:rsid w:val="003C3D27"/>
    <w:rsid w:val="003F0C1E"/>
    <w:rsid w:val="00404D3A"/>
    <w:rsid w:val="004149B0"/>
    <w:rsid w:val="004326E5"/>
    <w:rsid w:val="00453A72"/>
    <w:rsid w:val="0048103E"/>
    <w:rsid w:val="00496CAB"/>
    <w:rsid w:val="004975A1"/>
    <w:rsid w:val="004C1B7A"/>
    <w:rsid w:val="004D1EC3"/>
    <w:rsid w:val="004D3D99"/>
    <w:rsid w:val="004E19F3"/>
    <w:rsid w:val="004E5EF1"/>
    <w:rsid w:val="004F729E"/>
    <w:rsid w:val="00556412"/>
    <w:rsid w:val="005564D2"/>
    <w:rsid w:val="00562BB7"/>
    <w:rsid w:val="00563171"/>
    <w:rsid w:val="005F19FC"/>
    <w:rsid w:val="005F5C98"/>
    <w:rsid w:val="00605EDF"/>
    <w:rsid w:val="00616F68"/>
    <w:rsid w:val="006264C4"/>
    <w:rsid w:val="00645E15"/>
    <w:rsid w:val="006742F4"/>
    <w:rsid w:val="006E3570"/>
    <w:rsid w:val="00721EDB"/>
    <w:rsid w:val="00727276"/>
    <w:rsid w:val="0074018D"/>
    <w:rsid w:val="007462E1"/>
    <w:rsid w:val="00747E59"/>
    <w:rsid w:val="007F4C69"/>
    <w:rsid w:val="0080327F"/>
    <w:rsid w:val="00851EEA"/>
    <w:rsid w:val="00863117"/>
    <w:rsid w:val="00882356"/>
    <w:rsid w:val="008D7704"/>
    <w:rsid w:val="00923411"/>
    <w:rsid w:val="00943C5D"/>
    <w:rsid w:val="00990AE0"/>
    <w:rsid w:val="00995AFE"/>
    <w:rsid w:val="009A14DD"/>
    <w:rsid w:val="009E1D54"/>
    <w:rsid w:val="009E3C9A"/>
    <w:rsid w:val="00A17990"/>
    <w:rsid w:val="00A9167B"/>
    <w:rsid w:val="00AE0D40"/>
    <w:rsid w:val="00B00319"/>
    <w:rsid w:val="00B1548A"/>
    <w:rsid w:val="00B61D20"/>
    <w:rsid w:val="00BA3AC0"/>
    <w:rsid w:val="00BC5F86"/>
    <w:rsid w:val="00C520BC"/>
    <w:rsid w:val="00C56080"/>
    <w:rsid w:val="00CA5839"/>
    <w:rsid w:val="00CD3DE1"/>
    <w:rsid w:val="00CF4EF6"/>
    <w:rsid w:val="00D36A03"/>
    <w:rsid w:val="00D4699B"/>
    <w:rsid w:val="00D84AD2"/>
    <w:rsid w:val="00D95DD0"/>
    <w:rsid w:val="00E11F02"/>
    <w:rsid w:val="00E33FD3"/>
    <w:rsid w:val="00E46197"/>
    <w:rsid w:val="00E75E77"/>
    <w:rsid w:val="00EB5586"/>
    <w:rsid w:val="00F322D0"/>
    <w:rsid w:val="00F71CDE"/>
    <w:rsid w:val="00FD4AE2"/>
    <w:rsid w:val="271535DB"/>
    <w:rsid w:val="522DD4C5"/>
    <w:rsid w:val="64F3E06A"/>
    <w:rsid w:val="69ADB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F9B18"/>
  <w15:chartTrackingRefBased/>
  <w15:docId w15:val="{80BF5B33-1A94-4F87-AF34-0E29CA8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4AD2"/>
    <w:pPr>
      <w:spacing w:line="259" w:lineRule="auto"/>
    </w:pPr>
    <w:rPr>
      <w:sz w:val="22"/>
      <w:szCs w:val="22"/>
    </w:rPr>
  </w:style>
  <w:style w:type="paragraph" w:styleId="berschrift1">
    <w:name w:val="heading 1"/>
    <w:basedOn w:val="Standard"/>
    <w:next w:val="Standard"/>
    <w:link w:val="berschrift1Zchn"/>
    <w:uiPriority w:val="9"/>
    <w:qFormat/>
    <w:rsid w:val="00D84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84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84A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D84A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A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A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A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A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A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A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84A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84A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D84A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A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A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A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A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AD2"/>
    <w:rPr>
      <w:rFonts w:eastAsiaTheme="majorEastAsia" w:cstheme="majorBidi"/>
      <w:color w:val="272727" w:themeColor="text1" w:themeTint="D8"/>
    </w:rPr>
  </w:style>
  <w:style w:type="paragraph" w:styleId="Titel">
    <w:name w:val="Title"/>
    <w:basedOn w:val="Standard"/>
    <w:next w:val="Standard"/>
    <w:link w:val="TitelZchn"/>
    <w:uiPriority w:val="10"/>
    <w:qFormat/>
    <w:rsid w:val="00D84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A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A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A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A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AD2"/>
    <w:rPr>
      <w:i/>
      <w:iCs/>
      <w:color w:val="404040" w:themeColor="text1" w:themeTint="BF"/>
    </w:rPr>
  </w:style>
  <w:style w:type="paragraph" w:styleId="Listenabsatz">
    <w:name w:val="List Paragraph"/>
    <w:basedOn w:val="Standard"/>
    <w:uiPriority w:val="34"/>
    <w:qFormat/>
    <w:rsid w:val="00D84AD2"/>
    <w:pPr>
      <w:ind w:left="720"/>
      <w:contextualSpacing/>
    </w:pPr>
  </w:style>
  <w:style w:type="character" w:styleId="IntensiveHervorhebung">
    <w:name w:val="Intense Emphasis"/>
    <w:basedOn w:val="Absatz-Standardschriftart"/>
    <w:uiPriority w:val="21"/>
    <w:qFormat/>
    <w:rsid w:val="00D84AD2"/>
    <w:rPr>
      <w:i/>
      <w:iCs/>
      <w:color w:val="0F4761" w:themeColor="accent1" w:themeShade="BF"/>
    </w:rPr>
  </w:style>
  <w:style w:type="paragraph" w:styleId="IntensivesZitat">
    <w:name w:val="Intense Quote"/>
    <w:basedOn w:val="Standard"/>
    <w:next w:val="Standard"/>
    <w:link w:val="IntensivesZitatZchn"/>
    <w:uiPriority w:val="30"/>
    <w:qFormat/>
    <w:rsid w:val="00D8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AD2"/>
    <w:rPr>
      <w:i/>
      <w:iCs/>
      <w:color w:val="0F4761" w:themeColor="accent1" w:themeShade="BF"/>
    </w:rPr>
  </w:style>
  <w:style w:type="character" w:styleId="IntensiverVerweis">
    <w:name w:val="Intense Reference"/>
    <w:basedOn w:val="Absatz-Standardschriftart"/>
    <w:uiPriority w:val="32"/>
    <w:qFormat/>
    <w:rsid w:val="00D84AD2"/>
    <w:rPr>
      <w:b/>
      <w:bCs/>
      <w:smallCaps/>
      <w:color w:val="0F4761" w:themeColor="accent1" w:themeShade="BF"/>
      <w:spacing w:val="5"/>
    </w:rPr>
  </w:style>
  <w:style w:type="character" w:styleId="Kommentarzeichen">
    <w:name w:val="annotation reference"/>
    <w:basedOn w:val="Absatz-Standardschriftart"/>
    <w:uiPriority w:val="99"/>
    <w:semiHidden/>
    <w:unhideWhenUsed/>
    <w:rsid w:val="00D84AD2"/>
    <w:rPr>
      <w:sz w:val="16"/>
      <w:szCs w:val="16"/>
    </w:rPr>
  </w:style>
  <w:style w:type="paragraph" w:styleId="Kommentartext">
    <w:name w:val="annotation text"/>
    <w:basedOn w:val="Standard"/>
    <w:link w:val="KommentartextZchn"/>
    <w:uiPriority w:val="99"/>
    <w:unhideWhenUsed/>
    <w:rsid w:val="00D84AD2"/>
    <w:pPr>
      <w:spacing w:line="240" w:lineRule="auto"/>
    </w:pPr>
    <w:rPr>
      <w:sz w:val="20"/>
      <w:szCs w:val="20"/>
    </w:rPr>
  </w:style>
  <w:style w:type="character" w:customStyle="1" w:styleId="KommentartextZchn">
    <w:name w:val="Kommentartext Zchn"/>
    <w:basedOn w:val="Absatz-Standardschriftart"/>
    <w:link w:val="Kommentartext"/>
    <w:uiPriority w:val="99"/>
    <w:rsid w:val="00D84AD2"/>
    <w:rPr>
      <w:sz w:val="20"/>
      <w:szCs w:val="20"/>
    </w:rPr>
  </w:style>
  <w:style w:type="character" w:styleId="SchwacherVerweis">
    <w:name w:val="Subtle Reference"/>
    <w:basedOn w:val="Absatz-Standardschriftart"/>
    <w:uiPriority w:val="31"/>
    <w:qFormat/>
    <w:rsid w:val="00D84AD2"/>
    <w:rPr>
      <w:smallCaps/>
      <w:color w:val="5A5A5A" w:themeColor="text1" w:themeTint="A5"/>
    </w:rPr>
  </w:style>
  <w:style w:type="paragraph" w:styleId="Kommentarthema">
    <w:name w:val="annotation subject"/>
    <w:basedOn w:val="Kommentartext"/>
    <w:next w:val="Kommentartext"/>
    <w:link w:val="KommentarthemaZchn"/>
    <w:uiPriority w:val="99"/>
    <w:semiHidden/>
    <w:unhideWhenUsed/>
    <w:rsid w:val="00FD4AE2"/>
    <w:rPr>
      <w:b/>
      <w:bCs/>
    </w:rPr>
  </w:style>
  <w:style w:type="character" w:customStyle="1" w:styleId="KommentarthemaZchn">
    <w:name w:val="Kommentarthema Zchn"/>
    <w:basedOn w:val="KommentartextZchn"/>
    <w:link w:val="Kommentarthema"/>
    <w:uiPriority w:val="99"/>
    <w:semiHidden/>
    <w:rsid w:val="00FD4AE2"/>
    <w:rPr>
      <w:b/>
      <w:bCs/>
      <w:sz w:val="20"/>
      <w:szCs w:val="20"/>
    </w:rPr>
  </w:style>
  <w:style w:type="paragraph" w:styleId="berarbeitung">
    <w:name w:val="Revision"/>
    <w:hidden/>
    <w:uiPriority w:val="99"/>
    <w:semiHidden/>
    <w:rsid w:val="00270302"/>
    <w:pPr>
      <w:spacing w:after="0" w:line="240" w:lineRule="auto"/>
    </w:pPr>
    <w:rPr>
      <w:sz w:val="22"/>
      <w:szCs w:val="22"/>
    </w:rPr>
  </w:style>
  <w:style w:type="paragraph" w:styleId="Kopfzeile">
    <w:name w:val="header"/>
    <w:basedOn w:val="Standard"/>
    <w:link w:val="KopfzeileZchn"/>
    <w:uiPriority w:val="99"/>
    <w:unhideWhenUsed/>
    <w:rsid w:val="001F42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42DB"/>
    <w:rPr>
      <w:sz w:val="22"/>
      <w:szCs w:val="22"/>
    </w:rPr>
  </w:style>
  <w:style w:type="paragraph" w:styleId="Fuzeile">
    <w:name w:val="footer"/>
    <w:basedOn w:val="Standard"/>
    <w:link w:val="FuzeileZchn"/>
    <w:uiPriority w:val="99"/>
    <w:unhideWhenUsed/>
    <w:rsid w:val="001F42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42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7320">
      <w:bodyDiv w:val="1"/>
      <w:marLeft w:val="0"/>
      <w:marRight w:val="0"/>
      <w:marTop w:val="0"/>
      <w:marBottom w:val="0"/>
      <w:divBdr>
        <w:top w:val="none" w:sz="0" w:space="0" w:color="auto"/>
        <w:left w:val="none" w:sz="0" w:space="0" w:color="auto"/>
        <w:bottom w:val="none" w:sz="0" w:space="0" w:color="auto"/>
        <w:right w:val="none" w:sz="0" w:space="0" w:color="auto"/>
      </w:divBdr>
    </w:div>
    <w:div w:id="1014190350">
      <w:bodyDiv w:val="1"/>
      <w:marLeft w:val="0"/>
      <w:marRight w:val="0"/>
      <w:marTop w:val="0"/>
      <w:marBottom w:val="0"/>
      <w:divBdr>
        <w:top w:val="none" w:sz="0" w:space="0" w:color="auto"/>
        <w:left w:val="none" w:sz="0" w:space="0" w:color="auto"/>
        <w:bottom w:val="none" w:sz="0" w:space="0" w:color="auto"/>
        <w:right w:val="none" w:sz="0" w:space="0" w:color="auto"/>
      </w:divBdr>
    </w:div>
    <w:div w:id="1229262526">
      <w:bodyDiv w:val="1"/>
      <w:marLeft w:val="0"/>
      <w:marRight w:val="0"/>
      <w:marTop w:val="0"/>
      <w:marBottom w:val="0"/>
      <w:divBdr>
        <w:top w:val="none" w:sz="0" w:space="0" w:color="auto"/>
        <w:left w:val="none" w:sz="0" w:space="0" w:color="auto"/>
        <w:bottom w:val="none" w:sz="0" w:space="0" w:color="auto"/>
        <w:right w:val="none" w:sz="0" w:space="0" w:color="auto"/>
      </w:divBdr>
    </w:div>
    <w:div w:id="16762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ED84A711-8197-4FF4-80A6-F44E50BF7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09E96ED6BDCA3742938B53C593E01EF5" ma:contentTypeVersion="0" ma:contentTypeDescription="" ma:contentTypeScope="" ma:versionID="74f51d7d4e4328afcaefc0407424eacd">
  <xsd:schema xmlns:xsd="http://www.w3.org/2001/XMLSchema" xmlns:xs="http://www.w3.org/2001/XMLSchema" xmlns:p="http://schemas.microsoft.com/office/2006/metadata/properties" xmlns:ns2="f18553e4-0ef6-4dd1-9e08-53b2286d7b98" xmlns:ns3="ED84A711-8197-4FF4-80A6-F44E50BF77E3" targetNamespace="http://schemas.microsoft.com/office/2006/metadata/properties" ma:root="true" ma:fieldsID="b85784c9c84e822b826cde8f4f1b20a4" ns2:_="" ns3:_="">
    <xsd:import namespace="f18553e4-0ef6-4dd1-9e08-53b2286d7b98"/>
    <xsd:import namespace="ED84A711-8197-4FF4-80A6-F44E50BF77E3"/>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ED84A711-8197-4FF4-80A6-F44E50BF77E3"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874B9-4CA5-4EF0-A415-211943ADC6CB}">
  <ds:schemaRefs>
    <ds:schemaRef ds:uri="http://schemas.microsoft.com/sharepoint/v3/contenttype/forms"/>
  </ds:schemaRefs>
</ds:datastoreItem>
</file>

<file path=customXml/itemProps2.xml><?xml version="1.0" encoding="utf-8"?>
<ds:datastoreItem xmlns:ds="http://schemas.openxmlformats.org/officeDocument/2006/customXml" ds:itemID="{F53A4485-4653-4FFF-A543-DC010BF3858A}">
  <ds:schemaRefs>
    <ds:schemaRef ds:uri="http://purl.org/dc/elements/1.1/"/>
    <ds:schemaRef ds:uri="http://purl.org/dc/dcmitype/"/>
    <ds:schemaRef ds:uri="f18553e4-0ef6-4dd1-9e08-53b2286d7b98"/>
    <ds:schemaRef ds:uri="http://schemas.microsoft.com/office/2006/documentManagement/types"/>
    <ds:schemaRef ds:uri="http://schemas.microsoft.com/office/infopath/2007/PartnerControls"/>
    <ds:schemaRef ds:uri="ED84A711-8197-4FF4-80A6-F44E50BF77E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4B6CB3-830A-45DB-B555-BE19AF340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ED84A711-8197-4FF4-80A6-F44E50BF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Standar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1730</Words>
  <Characters>10900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Techniker Krankenkasse</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Storeck, Michelle</dc:creator>
  <cp:keywords/>
  <dc:description/>
  <cp:lastModifiedBy>Bruchhäuser, Laura</cp:lastModifiedBy>
  <cp:revision>5</cp:revision>
  <dcterms:created xsi:type="dcterms:W3CDTF">2026-03-24T13:04:00Z</dcterms:created>
  <dcterms:modified xsi:type="dcterms:W3CDTF">2026-04-10T08:08:00Z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0x010100E65520829C044D71A30CF51927CFE1190009E96ED6BDCA3742938B53C593E01EF5</vt:lpwstr>
  </property>
</Properties>
</file>