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00A80" w14:textId="77777777" w:rsidR="008816BE" w:rsidRPr="00C54589" w:rsidRDefault="008816BE" w:rsidP="00130151">
      <w:pPr>
        <w:jc w:val="both"/>
        <w:rPr>
          <w:rFonts w:ascii="Fira Sans" w:hAnsi="Fira Sans" w:cs="Arial"/>
          <w:b/>
          <w:lang w:eastAsia="de-DE"/>
        </w:rPr>
      </w:pPr>
      <w:r w:rsidRPr="00C54589">
        <w:rPr>
          <w:rFonts w:ascii="Fira Sans" w:hAnsi="Fira Sans" w:cs="Arial"/>
          <w:b/>
          <w:lang w:eastAsia="de-DE"/>
        </w:rPr>
        <w:t xml:space="preserve">§ 160 </w:t>
      </w:r>
      <w:r w:rsidR="00822844" w:rsidRPr="00C54589">
        <w:rPr>
          <w:rFonts w:ascii="Fira Sans" w:hAnsi="Fira Sans" w:cs="Arial"/>
          <w:b/>
          <w:lang w:eastAsia="de-DE"/>
        </w:rPr>
        <w:t xml:space="preserve">GWB: </w:t>
      </w:r>
      <w:r w:rsidRPr="00C54589">
        <w:rPr>
          <w:rFonts w:ascii="Fira Sans" w:hAnsi="Fira Sans" w:cs="Arial"/>
          <w:b/>
          <w:lang w:eastAsia="de-DE"/>
        </w:rPr>
        <w:t>Einleitung, Antrag</w:t>
      </w:r>
    </w:p>
    <w:p w14:paraId="08EF973D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>(1) Die Vergabekammer leitet ein Nachprüfungsverfahren nur auf Antrag ein.</w:t>
      </w:r>
    </w:p>
    <w:p w14:paraId="6A89A9B8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 xml:space="preserve">(2) Antragsbefugt ist jedes Unternehmen, das ein Interesse an dem öffentlichen Auftrag oder der Konzession hat und eine Verletzung in seinen Rechten nach § 97 Absatz 6 durch Nichtbeachtung von Vergabevorschriften geltend macht. </w:t>
      </w:r>
      <w:r w:rsidRPr="00C54589">
        <w:rPr>
          <w:rFonts w:ascii="Fira Sans" w:hAnsi="Fira Sans" w:cs="Arial"/>
          <w:vertAlign w:val="superscript"/>
          <w:lang w:eastAsia="de-DE"/>
        </w:rPr>
        <w:t xml:space="preserve"> </w:t>
      </w:r>
      <w:r w:rsidRPr="00C54589">
        <w:rPr>
          <w:rFonts w:ascii="Fira Sans" w:hAnsi="Fira Sans" w:cs="Arial"/>
          <w:lang w:eastAsia="de-DE"/>
        </w:rPr>
        <w:t>Dabei ist darzulegen, dass dem Unternehmen durch die behauptete Verletzung der Vergabevorschriften ein Schaden entstanden ist oder zu entstehen droht.</w:t>
      </w:r>
    </w:p>
    <w:p w14:paraId="3E40D847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 xml:space="preserve">(3) </w:t>
      </w:r>
      <w:r w:rsidRPr="00C54589">
        <w:rPr>
          <w:rFonts w:ascii="Fira Sans" w:hAnsi="Fira Sans" w:cs="Arial"/>
          <w:vertAlign w:val="superscript"/>
          <w:lang w:eastAsia="de-DE"/>
        </w:rPr>
        <w:t xml:space="preserve"> </w:t>
      </w:r>
      <w:r w:rsidRPr="00C54589">
        <w:rPr>
          <w:rFonts w:ascii="Fira Sans" w:hAnsi="Fira Sans" w:cs="Arial"/>
          <w:lang w:eastAsia="de-DE"/>
        </w:rPr>
        <w:t>Der Antrag ist unzulässig, soweit</w:t>
      </w:r>
    </w:p>
    <w:p w14:paraId="58B5ECDD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>1. der Antragsteller den geltend gemachten Verstoß gegen Vergabevorschriften vor Einreichen des Nachprüfungsantrags erkannt und gegenüber dem Auftraggeber nicht innerhalb einer Frist von zehn Kalendertagen gerügt hat; der Ablauf der Frist nach § 134 Absatz 2 bleibt unberührt,</w:t>
      </w:r>
    </w:p>
    <w:p w14:paraId="564CC8A7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>2. Verstöße gegen Vergabevorschriften, die aufgrund der Bekanntmachung erkennbar sind, nicht spätestens bis zum Ablauf der in der Bekanntmachung benannten Frist zur Bewerbung oder zur Angebotsabgabe gegenüber dem Auftraggeber gerügt werden,</w:t>
      </w:r>
    </w:p>
    <w:p w14:paraId="5ABA9DDC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>3. Verstöße gegen Vergabevorschriften, die erst in den Vergabeunterlagen erkennbar sind, nicht spätestens bis zum Ablauf der Frist zur Bewerbung oder zur Angebotsabgabe gegenüber dem Auftraggeber gerügt werden,</w:t>
      </w:r>
    </w:p>
    <w:p w14:paraId="4446F00A" w14:textId="77777777" w:rsidR="008816BE" w:rsidRPr="00C54589" w:rsidRDefault="008816BE" w:rsidP="00130151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>4. mehr als 15 Kalendertage nach Eingang der Mitteilung des Auftraggebers, einer Rüge nicht abhelfen zu wollen, vergangen sind.</w:t>
      </w:r>
    </w:p>
    <w:p w14:paraId="707397C8" w14:textId="77777777" w:rsidR="00130151" w:rsidRPr="00C54589" w:rsidRDefault="008816BE">
      <w:pPr>
        <w:jc w:val="both"/>
        <w:rPr>
          <w:rFonts w:ascii="Fira Sans" w:hAnsi="Fira Sans" w:cs="Arial"/>
          <w:lang w:eastAsia="de-DE"/>
        </w:rPr>
      </w:pPr>
      <w:r w:rsidRPr="00C54589">
        <w:rPr>
          <w:rFonts w:ascii="Fira Sans" w:hAnsi="Fira Sans" w:cs="Arial"/>
          <w:lang w:eastAsia="de-DE"/>
        </w:rPr>
        <w:t xml:space="preserve">Satz 1 gilt nicht bei einem Antrag auf Feststellung der Unwirksamkeit des Vertrags nach § 135 Absatz 1 Nummer </w:t>
      </w:r>
      <w:r w:rsidR="003E3669" w:rsidRPr="00C54589">
        <w:rPr>
          <w:rFonts w:ascii="Fira Sans" w:hAnsi="Fira Sans" w:cs="Arial"/>
          <w:lang w:eastAsia="de-DE"/>
        </w:rPr>
        <w:t>2.</w:t>
      </w:r>
      <w:r w:rsidRPr="00C54589">
        <w:rPr>
          <w:rFonts w:ascii="Fira Sans" w:hAnsi="Fira Sans" w:cs="Arial"/>
          <w:vertAlign w:val="superscript"/>
          <w:lang w:eastAsia="de-DE"/>
        </w:rPr>
        <w:t xml:space="preserve"> </w:t>
      </w:r>
      <w:r w:rsidRPr="00C54589">
        <w:rPr>
          <w:rFonts w:ascii="Fira Sans" w:hAnsi="Fira Sans" w:cs="Arial"/>
          <w:lang w:eastAsia="de-DE"/>
        </w:rPr>
        <w:t>§ 134 A</w:t>
      </w:r>
      <w:r w:rsidR="00130151" w:rsidRPr="00C54589">
        <w:rPr>
          <w:rFonts w:ascii="Fira Sans" w:hAnsi="Fira Sans" w:cs="Arial"/>
          <w:lang w:eastAsia="de-DE"/>
        </w:rPr>
        <w:t>bsatz 1 Satz 2 bleibt unberührt.</w:t>
      </w:r>
    </w:p>
    <w:sectPr w:rsidR="00130151" w:rsidRPr="00C545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3A70C" w14:textId="77777777" w:rsidR="007B359D" w:rsidRDefault="007B359D" w:rsidP="005662F0">
      <w:pPr>
        <w:spacing w:after="0" w:line="240" w:lineRule="auto"/>
      </w:pPr>
      <w:r>
        <w:separator/>
      </w:r>
    </w:p>
  </w:endnote>
  <w:endnote w:type="continuationSeparator" w:id="0">
    <w:p w14:paraId="3BFE763A" w14:textId="77777777" w:rsidR="007B359D" w:rsidRDefault="007B359D" w:rsidP="0056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26FB" w14:textId="77777777" w:rsidR="003E4D43" w:rsidRDefault="003E4D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AECA" w14:textId="77777777" w:rsidR="00822844" w:rsidRPr="00C54589" w:rsidRDefault="00822844" w:rsidP="00C54589">
    <w:pPr>
      <w:pStyle w:val="Fuzeile"/>
      <w:jc w:val="center"/>
      <w:rPr>
        <w:rFonts w:ascii="Fira Sans" w:hAnsi="Fira Sans" w:cs="Arial"/>
        <w:sz w:val="20"/>
        <w:szCs w:val="20"/>
      </w:rPr>
    </w:pPr>
    <w:r w:rsidRPr="00C54589">
      <w:rPr>
        <w:rFonts w:ascii="Fira Sans" w:hAnsi="Fira Sans" w:cs="Arial"/>
        <w:sz w:val="20"/>
        <w:szCs w:val="20"/>
      </w:rPr>
      <w:t>Seite 1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D1BB" w14:textId="77777777" w:rsidR="003E4D43" w:rsidRDefault="003E4D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9C11" w14:textId="77777777" w:rsidR="007B359D" w:rsidRDefault="007B359D" w:rsidP="005662F0">
      <w:pPr>
        <w:spacing w:after="0" w:line="240" w:lineRule="auto"/>
      </w:pPr>
      <w:r>
        <w:separator/>
      </w:r>
    </w:p>
  </w:footnote>
  <w:footnote w:type="continuationSeparator" w:id="0">
    <w:p w14:paraId="5C79D2DE" w14:textId="77777777" w:rsidR="007B359D" w:rsidRDefault="007B359D" w:rsidP="0056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0DE2" w14:textId="77777777" w:rsidR="003E4D43" w:rsidRDefault="003E4D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7371"/>
    </w:tblGrid>
    <w:tr w:rsidR="00297548" w:rsidRPr="006056B7" w14:paraId="693ACB48" w14:textId="77777777" w:rsidTr="00AF3F50">
      <w:tc>
        <w:tcPr>
          <w:tcW w:w="1951" w:type="dxa"/>
          <w:shd w:val="clear" w:color="auto" w:fill="auto"/>
          <w:vAlign w:val="center"/>
        </w:tcPr>
        <w:p w14:paraId="2622876C" w14:textId="248DE68B" w:rsidR="00297548" w:rsidRPr="006056B7" w:rsidRDefault="00297548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Vergabetitel:</w:t>
          </w:r>
        </w:p>
      </w:tc>
      <w:tc>
        <w:tcPr>
          <w:tcW w:w="7371" w:type="dxa"/>
          <w:shd w:val="clear" w:color="auto" w:fill="auto"/>
          <w:vAlign w:val="center"/>
        </w:tcPr>
        <w:p w14:paraId="15B20371" w14:textId="0FDF9C51" w:rsidR="00297548" w:rsidRPr="006056B7" w:rsidRDefault="003E4D43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r w:rsidRPr="003E4D43">
            <w:rPr>
              <w:rFonts w:ascii="Fira Sans" w:hAnsi="Fira Sans" w:cs="Arial"/>
              <w:b/>
            </w:rPr>
            <w:t>Rahmenleasingvereinbarung zur Umsetzung des Dienstradleasings für die Beschäftigten der Hanse- und Universitätsstadt Rostock</w:t>
          </w:r>
        </w:p>
      </w:tc>
    </w:tr>
    <w:tr w:rsidR="00297548" w:rsidRPr="006056B7" w14:paraId="112F934C" w14:textId="77777777" w:rsidTr="00AF3F50">
      <w:tc>
        <w:tcPr>
          <w:tcW w:w="1951" w:type="dxa"/>
          <w:shd w:val="clear" w:color="auto" w:fill="auto"/>
          <w:vAlign w:val="center"/>
        </w:tcPr>
        <w:p w14:paraId="0F958311" w14:textId="021198B2" w:rsidR="00297548" w:rsidRPr="006056B7" w:rsidRDefault="00297548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Leistung:</w:t>
          </w:r>
        </w:p>
      </w:tc>
      <w:tc>
        <w:tcPr>
          <w:tcW w:w="7371" w:type="dxa"/>
          <w:shd w:val="clear" w:color="auto" w:fill="auto"/>
          <w:vAlign w:val="center"/>
        </w:tcPr>
        <w:p w14:paraId="75D1EAF4" w14:textId="58C81270" w:rsidR="00297548" w:rsidRPr="006056B7" w:rsidRDefault="003E4D43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Dienst</w:t>
          </w:r>
          <w:r w:rsidR="00297548">
            <w:rPr>
              <w:rFonts w:ascii="Fira Sans" w:hAnsi="Fira Sans" w:cs="Arial"/>
              <w:b/>
            </w:rPr>
            <w:t>leistung</w:t>
          </w:r>
        </w:p>
      </w:tc>
    </w:tr>
    <w:tr w:rsidR="00297548" w:rsidRPr="006056B7" w14:paraId="00EC24EE" w14:textId="77777777" w:rsidTr="00AF3F50">
      <w:tc>
        <w:tcPr>
          <w:tcW w:w="1951" w:type="dxa"/>
          <w:shd w:val="clear" w:color="auto" w:fill="auto"/>
          <w:vAlign w:val="center"/>
        </w:tcPr>
        <w:p w14:paraId="69327970" w14:textId="559F7551" w:rsidR="00297548" w:rsidRPr="006056B7" w:rsidRDefault="00297548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proofErr w:type="spellStart"/>
          <w:r>
            <w:rPr>
              <w:rFonts w:ascii="Fira Sans" w:hAnsi="Fira Sans" w:cs="Arial"/>
              <w:b/>
            </w:rPr>
            <w:t>Vergabenr</w:t>
          </w:r>
          <w:proofErr w:type="spellEnd"/>
          <w:r>
            <w:rPr>
              <w:rFonts w:ascii="Fira Sans" w:hAnsi="Fira Sans" w:cs="Arial"/>
              <w:b/>
            </w:rPr>
            <w:t xml:space="preserve">.: </w:t>
          </w:r>
        </w:p>
      </w:tc>
      <w:tc>
        <w:tcPr>
          <w:tcW w:w="7371" w:type="dxa"/>
          <w:shd w:val="clear" w:color="auto" w:fill="auto"/>
          <w:vAlign w:val="center"/>
        </w:tcPr>
        <w:p w14:paraId="5069ABAE" w14:textId="4F17964F" w:rsidR="00297548" w:rsidRPr="006056B7" w:rsidRDefault="003E4D43" w:rsidP="00297548">
          <w:pPr>
            <w:spacing w:after="0" w:line="240" w:lineRule="auto"/>
            <w:rPr>
              <w:rFonts w:ascii="Fira Sans" w:hAnsi="Fira Sans" w:cs="Arial"/>
              <w:b/>
            </w:rPr>
          </w:pPr>
          <w:r>
            <w:rPr>
              <w:rFonts w:ascii="Fira Sans" w:hAnsi="Fira Sans" w:cs="Arial"/>
              <w:b/>
            </w:rPr>
            <w:t>18</w:t>
          </w:r>
          <w:bookmarkStart w:id="0" w:name="_GoBack"/>
          <w:bookmarkEnd w:id="0"/>
          <w:r w:rsidR="00297548">
            <w:rPr>
              <w:rFonts w:ascii="Fira Sans" w:hAnsi="Fira Sans" w:cs="Arial"/>
              <w:b/>
            </w:rPr>
            <w:t>/30/26</w:t>
          </w:r>
        </w:p>
      </w:tc>
    </w:tr>
  </w:tbl>
  <w:p w14:paraId="7E517574" w14:textId="77777777" w:rsidR="005662F0" w:rsidRPr="00AF7388" w:rsidRDefault="005662F0" w:rsidP="00AF7388">
    <w:pPr>
      <w:pStyle w:val="Kopfzeile"/>
      <w:rPr>
        <w:rFonts w:ascii="Fira Sans" w:hAnsi="Fira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EC24" w14:textId="77777777" w:rsidR="003E4D43" w:rsidRDefault="003E4D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5E"/>
    <w:rsid w:val="00001A7E"/>
    <w:rsid w:val="000D719C"/>
    <w:rsid w:val="00117437"/>
    <w:rsid w:val="001227CD"/>
    <w:rsid w:val="00130151"/>
    <w:rsid w:val="00161799"/>
    <w:rsid w:val="00226A8B"/>
    <w:rsid w:val="00297548"/>
    <w:rsid w:val="002A6622"/>
    <w:rsid w:val="002D7BAE"/>
    <w:rsid w:val="00307946"/>
    <w:rsid w:val="00377A9F"/>
    <w:rsid w:val="003E3669"/>
    <w:rsid w:val="003E4D43"/>
    <w:rsid w:val="005662F0"/>
    <w:rsid w:val="00600E4E"/>
    <w:rsid w:val="006056B7"/>
    <w:rsid w:val="00625004"/>
    <w:rsid w:val="00647491"/>
    <w:rsid w:val="007A64BA"/>
    <w:rsid w:val="007B359D"/>
    <w:rsid w:val="00822844"/>
    <w:rsid w:val="008816BE"/>
    <w:rsid w:val="008A6998"/>
    <w:rsid w:val="00AF3F50"/>
    <w:rsid w:val="00AF7388"/>
    <w:rsid w:val="00B91419"/>
    <w:rsid w:val="00BD0235"/>
    <w:rsid w:val="00C11C3C"/>
    <w:rsid w:val="00C54589"/>
    <w:rsid w:val="00CB4B8B"/>
    <w:rsid w:val="00D1497E"/>
    <w:rsid w:val="00D15D5E"/>
    <w:rsid w:val="00DA7E0F"/>
    <w:rsid w:val="00F6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D623"/>
  <w15:chartTrackingRefBased/>
  <w15:docId w15:val="{A4D80C7F-8D89-4216-8858-B2F0539D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62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662F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662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662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Mitarbeiter</dc:creator>
  <cp:keywords/>
  <cp:lastModifiedBy>Win10Support</cp:lastModifiedBy>
  <cp:revision>2</cp:revision>
  <dcterms:created xsi:type="dcterms:W3CDTF">2026-04-15T11:56:00Z</dcterms:created>
  <dcterms:modified xsi:type="dcterms:W3CDTF">2026-04-15T11:56:00Z</dcterms:modified>
</cp:coreProperties>
</file>