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Helvetica" w:hAnsi="Helvetica" w:cs="Helvetica"/>
        </w:rPr>
        <w:id w:val="-871918763"/>
        <w:placeholder>
          <w:docPart w:val="CD15269A9AA047479265239724020074"/>
        </w:placeholder>
      </w:sdtPr>
      <w:sdtEndPr/>
      <w:sdtContent>
        <w:p w14:paraId="108529D3" w14:textId="74A379E3" w:rsidR="00F35904" w:rsidRPr="00DE12F3" w:rsidRDefault="00DE12F3" w:rsidP="00F35904">
          <w:pPr>
            <w:autoSpaceDE w:val="0"/>
            <w:autoSpaceDN w:val="0"/>
            <w:adjustRightInd w:val="0"/>
            <w:rPr>
              <w:rFonts w:ascii="Helvetica" w:hAnsi="Helvetica" w:cs="Helvetica"/>
            </w:rPr>
          </w:pPr>
          <w:r w:rsidRPr="00DE12F3">
            <w:rPr>
              <w:rFonts w:ascii="Helvetica" w:hAnsi="Helvetica" w:cs="Helvetica"/>
            </w:rPr>
            <w:t>Universitätsstadt Tübingen</w:t>
          </w:r>
        </w:p>
      </w:sdtContent>
    </w:sdt>
    <w:p w14:paraId="5FA236C0" w14:textId="3EA8B692" w:rsidR="00F35904" w:rsidRDefault="00F35904" w:rsidP="00F359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E12F3">
        <w:rPr>
          <w:rFonts w:ascii="Arial" w:hAnsi="Arial" w:cs="Arial"/>
          <w:b/>
          <w:bCs/>
        </w:rPr>
        <w:t xml:space="preserve">Vergabenummer: </w:t>
      </w:r>
      <w:sdt>
        <w:sdtPr>
          <w:rPr>
            <w:rFonts w:ascii="Arial" w:hAnsi="Arial" w:cs="Arial"/>
            <w:b/>
            <w:bCs/>
          </w:rPr>
          <w:id w:val="1601752166"/>
          <w:placeholder>
            <w:docPart w:val="CD15269A9AA047479265239724020074"/>
          </w:placeholder>
        </w:sdtPr>
        <w:sdtEndPr/>
        <w:sdtContent>
          <w:r w:rsidR="00DE12F3" w:rsidRPr="00DE12F3">
            <w:rPr>
              <w:rFonts w:ascii="Arial" w:hAnsi="Arial" w:cs="Arial"/>
              <w:bCs/>
            </w:rPr>
            <w:t>023-2022-389</w:t>
          </w:r>
        </w:sdtContent>
      </w:sdt>
    </w:p>
    <w:p w14:paraId="625795D3" w14:textId="77777777" w:rsidR="00F35904" w:rsidRDefault="00F35904" w:rsidP="0001646B">
      <w:pPr>
        <w:spacing w:after="240" w:line="360" w:lineRule="exact"/>
        <w:jc w:val="both"/>
        <w:rPr>
          <w:rFonts w:ascii="Arial" w:hAnsi="Arial" w:cs="Arial"/>
          <w:b/>
          <w:bCs/>
        </w:rPr>
      </w:pPr>
    </w:p>
    <w:p w14:paraId="7333CF40" w14:textId="6F09E4A8" w:rsidR="00D5407E" w:rsidRPr="0001646B" w:rsidRDefault="00D5407E" w:rsidP="00EA794E">
      <w:pPr>
        <w:spacing w:after="240" w:line="360" w:lineRule="exact"/>
        <w:jc w:val="center"/>
        <w:rPr>
          <w:rFonts w:ascii="Arial" w:hAnsi="Arial" w:cs="Arial"/>
          <w:b/>
          <w:bCs/>
        </w:rPr>
      </w:pPr>
      <w:r w:rsidRPr="0001646B">
        <w:rPr>
          <w:rFonts w:ascii="Arial" w:hAnsi="Arial" w:cs="Arial"/>
          <w:b/>
          <w:bCs/>
        </w:rPr>
        <w:t>Ergänzung zu den Besonderen Vertragsbedingungen</w:t>
      </w:r>
      <w:r w:rsidR="00467C6B">
        <w:rPr>
          <w:rFonts w:ascii="Arial" w:hAnsi="Arial" w:cs="Arial"/>
          <w:b/>
          <w:bCs/>
        </w:rPr>
        <w:t xml:space="preserve"> </w:t>
      </w:r>
      <w:r w:rsidR="00467C6B">
        <w:rPr>
          <w:rFonts w:ascii="Arial" w:hAnsi="Arial" w:cs="Arial"/>
          <w:b/>
          <w:bCs/>
        </w:rPr>
        <w:br/>
        <w:t>für die Abrechnung von Betriebsstoffen</w:t>
      </w:r>
    </w:p>
    <w:p w14:paraId="25A2C895" w14:textId="77777777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Aufgrund der aktuell </w:t>
      </w:r>
      <w:r w:rsidR="00415975">
        <w:rPr>
          <w:rFonts w:ascii="Arial" w:hAnsi="Arial" w:cs="Arial"/>
        </w:rPr>
        <w:t>teils sehr volatilen</w:t>
      </w:r>
      <w:r w:rsidRPr="0001646B">
        <w:rPr>
          <w:rFonts w:ascii="Arial" w:hAnsi="Arial" w:cs="Arial"/>
        </w:rPr>
        <w:t xml:space="preserve"> Preise für Betriebsstoffe wird </w:t>
      </w:r>
      <w:r w:rsidR="00AB754F">
        <w:rPr>
          <w:rFonts w:ascii="Arial" w:hAnsi="Arial" w:cs="Arial"/>
        </w:rPr>
        <w:t>folgende R</w:t>
      </w:r>
      <w:r w:rsidR="0095673A">
        <w:rPr>
          <w:rFonts w:ascii="Arial" w:hAnsi="Arial" w:cs="Arial"/>
        </w:rPr>
        <w:t xml:space="preserve">egelung für </w:t>
      </w:r>
      <w:r w:rsidRPr="0001646B">
        <w:rPr>
          <w:rFonts w:ascii="Arial" w:hAnsi="Arial" w:cs="Arial"/>
        </w:rPr>
        <w:t xml:space="preserve">eine </w:t>
      </w:r>
      <w:proofErr w:type="spellStart"/>
      <w:r w:rsidR="0095673A">
        <w:rPr>
          <w:rFonts w:ascii="Arial" w:hAnsi="Arial" w:cs="Arial"/>
        </w:rPr>
        <w:t>Preisgleitung</w:t>
      </w:r>
      <w:proofErr w:type="spellEnd"/>
      <w:r w:rsidRPr="0001646B">
        <w:rPr>
          <w:rFonts w:ascii="Arial" w:hAnsi="Arial" w:cs="Arial"/>
        </w:rPr>
        <w:t xml:space="preserve"> vereinbart: </w:t>
      </w:r>
    </w:p>
    <w:p w14:paraId="70F5B931" w14:textId="77777777" w:rsidR="00D5407E" w:rsidRPr="0001646B" w:rsidRDefault="0095673A" w:rsidP="0001646B">
      <w:pPr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Regelung erfasst </w:t>
      </w:r>
      <w:r w:rsidR="00D5407E" w:rsidRPr="0001646B">
        <w:rPr>
          <w:rFonts w:ascii="Arial" w:hAnsi="Arial" w:cs="Arial"/>
        </w:rPr>
        <w:t xml:space="preserve">die Lieferung und Verwendung von Betriebsstoffen für alle </w:t>
      </w:r>
      <w:r w:rsidR="00877F31" w:rsidRPr="0001646B">
        <w:rPr>
          <w:rFonts w:ascii="Arial" w:hAnsi="Arial" w:cs="Arial"/>
        </w:rPr>
        <w:t>vertraglich</w:t>
      </w:r>
      <w:r w:rsidR="00D5407E" w:rsidRPr="0001646B">
        <w:rPr>
          <w:rFonts w:ascii="Arial" w:hAnsi="Arial" w:cs="Arial"/>
        </w:rPr>
        <w:t xml:space="preserve"> geschuldeten Teilleistungen inkl. etwaiger Transporte sowie die erforderlichen Betriebsstoffe für Leistungen gebundener Nachunternehme</w:t>
      </w:r>
      <w:r w:rsidR="00415975">
        <w:rPr>
          <w:rFonts w:ascii="Arial" w:hAnsi="Arial" w:cs="Arial"/>
        </w:rPr>
        <w:t>n</w:t>
      </w:r>
      <w:r w:rsidR="00D5407E" w:rsidRPr="0001646B">
        <w:rPr>
          <w:rFonts w:ascii="Arial" w:hAnsi="Arial" w:cs="Arial"/>
        </w:rPr>
        <w:t xml:space="preserve"> und Spediteure.</w:t>
      </w:r>
    </w:p>
    <w:p w14:paraId="1DCE8E6E" w14:textId="77777777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Der </w:t>
      </w:r>
      <w:r w:rsidR="0095673A">
        <w:rPr>
          <w:rFonts w:ascii="Arial" w:hAnsi="Arial" w:cs="Arial"/>
        </w:rPr>
        <w:t xml:space="preserve">prozentuale </w:t>
      </w:r>
      <w:r w:rsidRPr="0001646B">
        <w:rPr>
          <w:rFonts w:ascii="Arial" w:hAnsi="Arial" w:cs="Arial"/>
          <w:b/>
        </w:rPr>
        <w:t>Kostenanteil der Betriebsstoffe</w:t>
      </w:r>
      <w:r w:rsidRPr="0001646B">
        <w:rPr>
          <w:rFonts w:ascii="Arial" w:hAnsi="Arial" w:cs="Arial"/>
        </w:rPr>
        <w:t xml:space="preserve"> an der Auftragssumme wird wie folgt pauschaliert und als Vertragsgrundlage für die spätere Abrechnung festgelegt:</w:t>
      </w:r>
    </w:p>
    <w:p w14:paraId="183ACEBB" w14:textId="77777777" w:rsidR="00D5407E" w:rsidRPr="0001646B" w:rsidRDefault="00D5407E" w:rsidP="0001646B">
      <w:pPr>
        <w:spacing w:after="240" w:line="360" w:lineRule="exact"/>
        <w:jc w:val="center"/>
        <w:rPr>
          <w:rFonts w:ascii="Arial" w:hAnsi="Arial" w:cs="Arial"/>
          <w:b/>
          <w:bCs/>
        </w:rPr>
      </w:pPr>
      <w:r w:rsidRPr="00DE12F3">
        <w:rPr>
          <w:rFonts w:ascii="Arial" w:hAnsi="Arial" w:cs="Arial"/>
          <w:b/>
          <w:bCs/>
          <w:highlight w:val="yellow"/>
        </w:rPr>
        <w:t>…</w:t>
      </w:r>
      <w:r w:rsidRPr="0001646B">
        <w:rPr>
          <w:rFonts w:ascii="Arial" w:hAnsi="Arial" w:cs="Arial"/>
          <w:b/>
          <w:bCs/>
        </w:rPr>
        <w:t xml:space="preserve"> %</w:t>
      </w:r>
      <w:r w:rsidRPr="0001646B">
        <w:rPr>
          <w:rFonts w:ascii="Arial" w:hAnsi="Arial" w:cs="Arial"/>
          <w:b/>
          <w:bCs/>
        </w:rPr>
        <w:tab/>
      </w:r>
      <w:r w:rsidRPr="0001646B">
        <w:rPr>
          <w:rFonts w:ascii="Arial" w:hAnsi="Arial" w:cs="Arial"/>
        </w:rPr>
        <w:t>der Auftragssumme.</w:t>
      </w:r>
    </w:p>
    <w:p w14:paraId="23199B53" w14:textId="77777777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Auf der Grundlage dieses </w:t>
      </w:r>
      <w:r w:rsidR="0095673A">
        <w:rPr>
          <w:rFonts w:ascii="Arial" w:hAnsi="Arial" w:cs="Arial"/>
        </w:rPr>
        <w:t>Wertes</w:t>
      </w:r>
      <w:r w:rsidRPr="0001646B">
        <w:rPr>
          <w:rFonts w:ascii="Arial" w:hAnsi="Arial" w:cs="Arial"/>
        </w:rPr>
        <w:t xml:space="preserve"> wird in Abhängigkeit </w:t>
      </w:r>
      <w:r w:rsidR="0095673A">
        <w:rPr>
          <w:rFonts w:ascii="Arial" w:hAnsi="Arial" w:cs="Arial"/>
        </w:rPr>
        <w:t>von den</w:t>
      </w:r>
      <w:r w:rsidRPr="0001646B">
        <w:rPr>
          <w:rFonts w:ascii="Arial" w:hAnsi="Arial" w:cs="Arial"/>
        </w:rPr>
        <w:t xml:space="preserve"> prozentualen Preissteigerungen ein Ausgleichsbetrag ermittelt, mit dem sich der Auftraggeber an de</w:t>
      </w:r>
      <w:r w:rsidR="009861E8">
        <w:rPr>
          <w:rFonts w:ascii="Arial" w:hAnsi="Arial" w:cs="Arial"/>
        </w:rPr>
        <w:t>r</w:t>
      </w:r>
      <w:r w:rsidRPr="0001646B">
        <w:rPr>
          <w:rFonts w:ascii="Arial" w:hAnsi="Arial" w:cs="Arial"/>
        </w:rPr>
        <w:t xml:space="preserve"> Preis</w:t>
      </w:r>
      <w:r w:rsidR="009861E8">
        <w:rPr>
          <w:rFonts w:ascii="Arial" w:hAnsi="Arial" w:cs="Arial"/>
        </w:rPr>
        <w:t>entwicklung</w:t>
      </w:r>
      <w:r w:rsidRPr="0001646B">
        <w:rPr>
          <w:rFonts w:ascii="Arial" w:hAnsi="Arial" w:cs="Arial"/>
        </w:rPr>
        <w:t xml:space="preserve"> beteiligt. Maßgeblich für die Berechnung ist dabei die Indexentwicklung für den Betriebsstoff Diesel</w:t>
      </w:r>
      <w:r w:rsidR="00AA48D5" w:rsidRPr="0001646B">
        <w:rPr>
          <w:rFonts w:ascii="Arial" w:hAnsi="Arial" w:cs="Arial"/>
        </w:rPr>
        <w:t xml:space="preserve"> (GP-Nummer 19 20 26 005)</w:t>
      </w:r>
      <w:r w:rsidRPr="0001646B">
        <w:rPr>
          <w:rFonts w:ascii="Arial" w:hAnsi="Arial" w:cs="Arial"/>
        </w:rPr>
        <w:t xml:space="preserve">. Der Auftragnehmer selbst </w:t>
      </w:r>
      <w:r w:rsidR="00415975">
        <w:rPr>
          <w:rFonts w:ascii="Arial" w:hAnsi="Arial" w:cs="Arial"/>
        </w:rPr>
        <w:t xml:space="preserve">trägt </w:t>
      </w:r>
      <w:r w:rsidRPr="0001646B">
        <w:rPr>
          <w:rFonts w:ascii="Arial" w:hAnsi="Arial" w:cs="Arial"/>
        </w:rPr>
        <w:t>einen 10%-</w:t>
      </w:r>
      <w:proofErr w:type="spellStart"/>
      <w:r w:rsidRPr="0001646B">
        <w:rPr>
          <w:rFonts w:ascii="Arial" w:hAnsi="Arial" w:cs="Arial"/>
        </w:rPr>
        <w:t>igen</w:t>
      </w:r>
      <w:proofErr w:type="spellEnd"/>
      <w:r w:rsidRPr="0001646B">
        <w:rPr>
          <w:rFonts w:ascii="Arial" w:hAnsi="Arial" w:cs="Arial"/>
        </w:rPr>
        <w:t xml:space="preserve"> Eigenanteil an der Preisentwicklung.</w:t>
      </w:r>
    </w:p>
    <w:p w14:paraId="28688C41" w14:textId="77777777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Der </w:t>
      </w:r>
      <w:r w:rsidRPr="00EA794E">
        <w:rPr>
          <w:rFonts w:ascii="Arial" w:hAnsi="Arial" w:cs="Arial"/>
          <w:b/>
        </w:rPr>
        <w:t>Ausgangsindex</w:t>
      </w:r>
      <w:r w:rsidRPr="0001646B">
        <w:rPr>
          <w:rFonts w:ascii="Arial" w:hAnsi="Arial" w:cs="Arial"/>
        </w:rPr>
        <w:t xml:space="preserve"> für die Ermittlung der Preisschwankungen für die Betriebsstoffe bestimmt sich nach dem zum Zeitpunkt des Submissionstermins aktuellen Indexwert auf der Grundlage der „Preise und Preisindizes für gewerbliche Produkte (Erzeugerpreise) - Fachserie 17, Reihe 2“ des Statistischen Bundesamtes. Der </w:t>
      </w:r>
      <w:r w:rsidRPr="00EA794E">
        <w:rPr>
          <w:rFonts w:ascii="Arial" w:hAnsi="Arial" w:cs="Arial"/>
          <w:b/>
        </w:rPr>
        <w:t>Abrechnungsindex</w:t>
      </w:r>
      <w:r w:rsidRPr="0001646B">
        <w:rPr>
          <w:rFonts w:ascii="Arial" w:hAnsi="Arial" w:cs="Arial"/>
        </w:rPr>
        <w:t xml:space="preserve"> bestimmt sich nach dem zum Rechnungsdatum verfügbaren Index aus der v</w:t>
      </w:r>
      <w:r w:rsidR="0095673A">
        <w:rPr>
          <w:rFonts w:ascii="Arial" w:hAnsi="Arial" w:cs="Arial"/>
        </w:rPr>
        <w:t>orbezeichneten</w:t>
      </w:r>
      <w:r w:rsidRPr="0001646B">
        <w:rPr>
          <w:rFonts w:ascii="Arial" w:hAnsi="Arial" w:cs="Arial"/>
        </w:rPr>
        <w:t xml:space="preserve"> Statistik.</w:t>
      </w:r>
    </w:p>
    <w:p w14:paraId="4DD96FEE" w14:textId="77777777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Der </w:t>
      </w:r>
      <w:r w:rsidRPr="00EA794E">
        <w:rPr>
          <w:rFonts w:ascii="Arial" w:hAnsi="Arial" w:cs="Arial"/>
          <w:b/>
        </w:rPr>
        <w:t>Ausgleichsbetrag</w:t>
      </w:r>
      <w:r w:rsidRPr="0001646B">
        <w:rPr>
          <w:rFonts w:ascii="Arial" w:hAnsi="Arial" w:cs="Arial"/>
        </w:rPr>
        <w:t xml:space="preserve"> wird wie folgt ermittelt:</w:t>
      </w:r>
    </w:p>
    <w:p w14:paraId="29A7E0E4" w14:textId="250E34E3" w:rsidR="0068720D" w:rsidRPr="0001646B" w:rsidRDefault="0068720D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>Der Kostenanteil de</w:t>
      </w:r>
      <w:r w:rsidR="009861E8">
        <w:rPr>
          <w:rFonts w:ascii="Arial" w:hAnsi="Arial" w:cs="Arial"/>
        </w:rPr>
        <w:t>r</w:t>
      </w:r>
      <w:r w:rsidRPr="0001646B">
        <w:rPr>
          <w:rFonts w:ascii="Arial" w:hAnsi="Arial" w:cs="Arial"/>
        </w:rPr>
        <w:t xml:space="preserve"> </w:t>
      </w:r>
      <w:r w:rsidR="00FC68FD" w:rsidRPr="0001646B">
        <w:rPr>
          <w:rFonts w:ascii="Arial" w:hAnsi="Arial" w:cs="Arial"/>
        </w:rPr>
        <w:t>Betriebsstoff</w:t>
      </w:r>
      <w:r w:rsidR="009861E8">
        <w:rPr>
          <w:rFonts w:ascii="Arial" w:hAnsi="Arial" w:cs="Arial"/>
        </w:rPr>
        <w:t>e</w:t>
      </w:r>
      <w:r w:rsidRPr="0001646B">
        <w:rPr>
          <w:rFonts w:ascii="Arial" w:hAnsi="Arial" w:cs="Arial"/>
        </w:rPr>
        <w:t xml:space="preserve"> wird </w:t>
      </w:r>
      <w:r w:rsidR="008F1ACB">
        <w:rPr>
          <w:rFonts w:ascii="Arial" w:hAnsi="Arial" w:cs="Arial"/>
        </w:rPr>
        <w:t xml:space="preserve">- gleichmäßig aufgeteilt auf die Monate der vereinbarten Vertragslaufzeit - </w:t>
      </w:r>
      <w:r w:rsidRPr="0001646B">
        <w:rPr>
          <w:rFonts w:ascii="Arial" w:hAnsi="Arial" w:cs="Arial"/>
        </w:rPr>
        <w:t>mit der prozentualen Veränderung der Preise für Dieseltreibstoff multipliziert; dieser Betrag wird wegen des Eigenanteils des Auftragnehmers nur zu 90 % ausgezahlt.</w:t>
      </w:r>
      <w:bookmarkStart w:id="0" w:name="_GoBack"/>
      <w:bookmarkEnd w:id="0"/>
    </w:p>
    <w:p w14:paraId="286B6618" w14:textId="77777777" w:rsidR="0068720D" w:rsidRPr="0001646B" w:rsidRDefault="0068720D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t xml:space="preserve">Die Berechnung erfolgt nach folgender Formel:  </w:t>
      </w:r>
    </w:p>
    <w:p w14:paraId="3B386356" w14:textId="45918830" w:rsidR="0068720D" w:rsidRPr="008F1ACB" w:rsidRDefault="00AD5891" w:rsidP="0001646B">
      <w:pPr>
        <w:spacing w:after="240" w:line="360" w:lineRule="exact"/>
        <w:jc w:val="center"/>
        <w:rPr>
          <w:rFonts w:cstheme="minorHAnsi"/>
          <w:bCs/>
          <w:sz w:val="16"/>
          <w:szCs w:val="16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16"/>
              <w:szCs w:val="16"/>
            </w:rPr>
            <m:t xml:space="preserve">Monatlicher Kostenanteil Betriebsstoff </m:t>
          </m:r>
          <m:d>
            <m:dPr>
              <m:ctrlPr>
                <w:rPr>
                  <w:rFonts w:ascii="Cambria Math" w:hAnsi="Cambria Math" w:cstheme="minorHAnsi"/>
                  <w:b/>
                  <w:i/>
                  <w:sz w:val="16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16"/>
                  <w:szCs w:val="16"/>
                </w:rPr>
                <m:t>EUR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  <w:sz w:val="16"/>
              <w:szCs w:val="16"/>
            </w:rPr>
            <m:t xml:space="preserve">x 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sz w:val="16"/>
                  <w:szCs w:val="1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  <w:sz w:val="16"/>
                  <w:szCs w:val="16"/>
                </w:rPr>
                <m:t>(Abrechnungsindex -Ausgangsindex)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sz w:val="16"/>
                  <w:szCs w:val="16"/>
                </w:rPr>
                <m:t>Ausgangsindex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16"/>
              <w:szCs w:val="16"/>
            </w:rPr>
            <m:t xml:space="preserve"> x 0,9=Ausgleichsbetrag</m:t>
          </m:r>
        </m:oMath>
      </m:oMathPara>
    </w:p>
    <w:p w14:paraId="7D47B20E" w14:textId="3B00DF36" w:rsidR="008F1ACB" w:rsidRDefault="008F1AC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C279C6" w14:textId="4AE1BFE2" w:rsidR="00D5407E" w:rsidRPr="0001646B" w:rsidRDefault="00D5407E" w:rsidP="0001646B">
      <w:pPr>
        <w:spacing w:after="240" w:line="360" w:lineRule="exact"/>
        <w:jc w:val="both"/>
        <w:rPr>
          <w:rFonts w:ascii="Arial" w:hAnsi="Arial" w:cs="Arial"/>
        </w:rPr>
      </w:pPr>
      <w:r w:rsidRPr="0001646B">
        <w:rPr>
          <w:rFonts w:ascii="Arial" w:hAnsi="Arial" w:cs="Arial"/>
        </w:rPr>
        <w:lastRenderedPageBreak/>
        <w:t xml:space="preserve">Der Auftragnehmer ist berechtigt, im Rahmen von monatlichen Abschlagsrechnungen Ausgleichsbeträge nach dieser Formel </w:t>
      </w:r>
      <w:r w:rsidR="009861E8">
        <w:rPr>
          <w:rFonts w:ascii="Arial" w:hAnsi="Arial" w:cs="Arial"/>
        </w:rPr>
        <w:t xml:space="preserve">beim </w:t>
      </w:r>
      <w:r w:rsidR="008F32F4">
        <w:rPr>
          <w:rFonts w:ascii="Arial" w:hAnsi="Arial" w:cs="Arial"/>
        </w:rPr>
        <w:t>öffentlichen Auftraggeber</w:t>
      </w:r>
      <w:r w:rsidR="009861E8">
        <w:rPr>
          <w:rFonts w:ascii="Arial" w:hAnsi="Arial" w:cs="Arial"/>
        </w:rPr>
        <w:t xml:space="preserve"> </w:t>
      </w:r>
      <w:r w:rsidRPr="0001646B">
        <w:rPr>
          <w:rFonts w:ascii="Arial" w:hAnsi="Arial" w:cs="Arial"/>
        </w:rPr>
        <w:t>geltend zu machen.</w:t>
      </w:r>
    </w:p>
    <w:p w14:paraId="54904CAE" w14:textId="77777777" w:rsidR="00934106" w:rsidRPr="00EA794E" w:rsidRDefault="00934106" w:rsidP="00934106">
      <w:pPr>
        <w:spacing w:after="240" w:line="360" w:lineRule="exact"/>
        <w:ind w:left="1134" w:hanging="1134"/>
        <w:rPr>
          <w:rFonts w:ascii="Arial" w:hAnsi="Arial" w:cs="Arial"/>
          <w:b/>
          <w:u w:val="single"/>
        </w:rPr>
      </w:pPr>
      <w:r w:rsidRPr="00EA794E">
        <w:rPr>
          <w:rFonts w:ascii="Arial" w:hAnsi="Arial" w:cs="Arial"/>
          <w:b/>
          <w:u w:val="single"/>
        </w:rPr>
        <w:t xml:space="preserve">Beispiel: </w:t>
      </w:r>
    </w:p>
    <w:p w14:paraId="4F9583AF" w14:textId="77777777" w:rsidR="00B02DCF" w:rsidRDefault="00934106" w:rsidP="00934106">
      <w:pPr>
        <w:spacing w:after="240" w:line="360" w:lineRule="exact"/>
        <w:rPr>
          <w:rFonts w:ascii="Arial" w:hAnsi="Arial" w:cs="Arial"/>
        </w:rPr>
      </w:pPr>
      <w:r w:rsidRPr="00EA794E">
        <w:rPr>
          <w:rFonts w:ascii="Arial" w:hAnsi="Arial" w:cs="Arial"/>
        </w:rPr>
        <w:t xml:space="preserve">Auftragssumme: 100.000 Euro; Kostenanteil: 5%; </w:t>
      </w:r>
      <w:r w:rsidRPr="00EA794E">
        <w:rPr>
          <w:rFonts w:ascii="Arial" w:hAnsi="Arial" w:cs="Arial"/>
        </w:rPr>
        <w:br/>
        <w:t>Kostenanteil an der Auftragssumme: 5.000 Euro</w:t>
      </w:r>
      <w:r>
        <w:rPr>
          <w:rFonts w:ascii="Arial" w:hAnsi="Arial" w:cs="Arial"/>
        </w:rPr>
        <w:br/>
        <w:t>Vertragslaufzeit in Monaten: 3</w:t>
      </w:r>
    </w:p>
    <w:p w14:paraId="7CA67AC6" w14:textId="7B8B4A4D" w:rsidR="00B02DCF" w:rsidRDefault="00B02DCF" w:rsidP="00934106">
      <w:pPr>
        <w:spacing w:after="240" w:line="360" w:lineRule="exact"/>
        <w:rPr>
          <w:rFonts w:ascii="Arial" w:hAnsi="Arial" w:cs="Arial"/>
        </w:rPr>
      </w:pPr>
      <w:r>
        <w:rPr>
          <w:rFonts w:ascii="Arial" w:hAnsi="Arial" w:cs="Arial"/>
        </w:rPr>
        <w:t>Ausgangsindex: 110</w:t>
      </w:r>
      <w:r>
        <w:rPr>
          <w:rFonts w:ascii="Arial" w:hAnsi="Arial" w:cs="Arial"/>
        </w:rPr>
        <w:br/>
        <w:t>Abrechnungsindex Monat 1: 115</w:t>
      </w:r>
      <w:r>
        <w:rPr>
          <w:rFonts w:ascii="Arial" w:hAnsi="Arial" w:cs="Arial"/>
        </w:rPr>
        <w:br/>
        <w:t>Abrechnungsindex Monat 2: 117</w:t>
      </w:r>
      <w:r>
        <w:rPr>
          <w:rFonts w:ascii="Arial" w:hAnsi="Arial" w:cs="Arial"/>
        </w:rPr>
        <w:br/>
        <w:t>Abrechnungsindex Monat 3: 114</w:t>
      </w:r>
      <w:r>
        <w:rPr>
          <w:rFonts w:ascii="Arial" w:hAnsi="Arial" w:cs="Arial"/>
        </w:rPr>
        <w:br/>
      </w:r>
    </w:p>
    <w:p w14:paraId="148E6600" w14:textId="6B2F241E" w:rsidR="00934106" w:rsidRPr="00EA794E" w:rsidRDefault="00934106" w:rsidP="00934106">
      <w:pPr>
        <w:spacing w:after="240" w:line="360" w:lineRule="exact"/>
        <w:rPr>
          <w:rFonts w:ascii="Arial" w:hAnsi="Arial" w:cs="Arial"/>
        </w:rPr>
      </w:pPr>
      <w:r>
        <w:rPr>
          <w:rFonts w:ascii="Arial" w:hAnsi="Arial" w:cs="Arial"/>
        </w:rPr>
        <w:t>Ausgleichsbetrag im Monat 1:</w:t>
      </w:r>
    </w:p>
    <w:p w14:paraId="6201DB4C" w14:textId="4175D40D" w:rsidR="00934106" w:rsidRPr="00EA794E" w:rsidRDefault="00DE12F3" w:rsidP="00934106">
      <w:pPr>
        <w:spacing w:after="240" w:line="360" w:lineRule="exact"/>
        <w:rPr>
          <w:rFonts w:ascii="Arial" w:hAnsi="Arial" w:cs="Arial"/>
          <w:b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5.000 €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  x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115-110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>x 0,9=68,18 €</m:t>
          </m:r>
        </m:oMath>
      </m:oMathPara>
    </w:p>
    <w:p w14:paraId="3D864DB1" w14:textId="6A96E224" w:rsidR="00B02DCF" w:rsidRPr="00EA794E" w:rsidRDefault="00B02DCF" w:rsidP="00B02DCF">
      <w:pPr>
        <w:spacing w:after="240" w:line="360" w:lineRule="exact"/>
        <w:rPr>
          <w:rFonts w:ascii="Arial" w:hAnsi="Arial" w:cs="Arial"/>
        </w:rPr>
      </w:pPr>
      <w:r>
        <w:rPr>
          <w:rFonts w:ascii="Arial" w:hAnsi="Arial" w:cs="Arial"/>
        </w:rPr>
        <w:t>Ausgleichsbetrag im Monat 2:</w:t>
      </w:r>
    </w:p>
    <w:p w14:paraId="645F65F3" w14:textId="3C714223" w:rsidR="00B02DCF" w:rsidRPr="00EA794E" w:rsidRDefault="00DE12F3" w:rsidP="00B02DCF">
      <w:pPr>
        <w:spacing w:after="240" w:line="360" w:lineRule="exact"/>
        <w:rPr>
          <w:rFonts w:ascii="Arial" w:hAnsi="Arial" w:cs="Arial"/>
          <w:b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5.000 €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  x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117-110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>x 0,9=95,45 €</m:t>
          </m:r>
        </m:oMath>
      </m:oMathPara>
    </w:p>
    <w:p w14:paraId="06C2168B" w14:textId="5C1DF4F5" w:rsidR="00B02DCF" w:rsidRPr="00EA794E" w:rsidRDefault="00B02DCF" w:rsidP="00B02DCF">
      <w:pPr>
        <w:spacing w:after="240" w:line="360" w:lineRule="exact"/>
        <w:rPr>
          <w:rFonts w:ascii="Arial" w:hAnsi="Arial" w:cs="Arial"/>
        </w:rPr>
      </w:pPr>
      <w:r>
        <w:rPr>
          <w:rFonts w:ascii="Arial" w:hAnsi="Arial" w:cs="Arial"/>
        </w:rPr>
        <w:t>Ausgleichsbetrag im Monat 3:</w:t>
      </w:r>
    </w:p>
    <w:p w14:paraId="5EE7987A" w14:textId="56859A04" w:rsidR="00B02DCF" w:rsidRPr="00EA794E" w:rsidRDefault="00DE12F3" w:rsidP="00B02DCF">
      <w:pPr>
        <w:spacing w:after="240" w:line="360" w:lineRule="exact"/>
        <w:rPr>
          <w:rFonts w:ascii="Arial" w:hAnsi="Arial" w:cs="Arial"/>
          <w:b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5.000 €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  x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114-110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>x 0,9=54,55 €</m:t>
          </m:r>
        </m:oMath>
      </m:oMathPara>
    </w:p>
    <w:p w14:paraId="7C46D729" w14:textId="5381631E" w:rsidR="00934106" w:rsidRPr="00AF1AD8" w:rsidRDefault="00B02DCF" w:rsidP="00934106">
      <w:pPr>
        <w:spacing w:after="240" w:line="360" w:lineRule="exact"/>
        <w:jc w:val="both"/>
        <w:rPr>
          <w:rFonts w:ascii="Arial" w:hAnsi="Arial" w:cs="Arial"/>
          <w:b/>
        </w:rPr>
      </w:pPr>
      <w:r w:rsidRPr="00AF1AD8">
        <w:rPr>
          <w:rFonts w:ascii="Arial" w:hAnsi="Arial" w:cs="Arial"/>
          <w:b/>
        </w:rPr>
        <w:t>Ausgleichsbetrag insgesamt: 218,18 €</w:t>
      </w:r>
    </w:p>
    <w:p w14:paraId="4184D875" w14:textId="2096A763" w:rsidR="00E41F4E" w:rsidRDefault="00D5407E" w:rsidP="00B02DCF">
      <w:pPr>
        <w:spacing w:after="240" w:line="360" w:lineRule="exact"/>
        <w:jc w:val="both"/>
      </w:pPr>
      <w:r w:rsidRPr="0001646B">
        <w:rPr>
          <w:rFonts w:ascii="Arial" w:hAnsi="Arial" w:cs="Arial"/>
        </w:rPr>
        <w:t xml:space="preserve">Die Ausgleichsbeträge werden unabhängig von der tatsächlichen Abrechnungssumme berechnet. Für alle Vertrags- und Mengenänderungen gelten die </w:t>
      </w:r>
      <w:r w:rsidR="009F1763" w:rsidRPr="0001646B">
        <w:rPr>
          <w:rFonts w:ascii="Arial" w:hAnsi="Arial" w:cs="Arial"/>
        </w:rPr>
        <w:t>jeweiligen Allgemeinen Vertragsbedingungen unverän</w:t>
      </w:r>
      <w:r w:rsidR="00247C2D">
        <w:rPr>
          <w:rFonts w:ascii="Arial" w:hAnsi="Arial" w:cs="Arial"/>
        </w:rPr>
        <w:t>dert fort (z. B. VOB/B, VOL/B</w:t>
      </w:r>
      <w:r w:rsidR="009F1763" w:rsidRPr="0001646B">
        <w:rPr>
          <w:rFonts w:ascii="Arial" w:hAnsi="Arial" w:cs="Arial"/>
        </w:rPr>
        <w:t>).</w:t>
      </w:r>
      <w:r w:rsidRPr="0001646B">
        <w:rPr>
          <w:rFonts w:ascii="Arial" w:hAnsi="Arial" w:cs="Arial"/>
        </w:rPr>
        <w:t xml:space="preserve"> </w:t>
      </w:r>
    </w:p>
    <w:sectPr w:rsidR="00E41F4E" w:rsidSect="00415975">
      <w:headerReference w:type="default" r:id="rId6"/>
      <w:pgSz w:w="11900" w:h="16840"/>
      <w:pgMar w:top="1560" w:right="1134" w:bottom="709" w:left="1418" w:header="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C3DA" w14:textId="77777777" w:rsidR="00AF1AD8" w:rsidRDefault="00AF1AD8" w:rsidP="00D5407E">
      <w:r>
        <w:separator/>
      </w:r>
    </w:p>
  </w:endnote>
  <w:endnote w:type="continuationSeparator" w:id="0">
    <w:p w14:paraId="0DC9D937" w14:textId="77777777" w:rsidR="00AF1AD8" w:rsidRDefault="00AF1AD8" w:rsidP="00D5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3EC7" w14:textId="77777777" w:rsidR="00AF1AD8" w:rsidRDefault="00AF1AD8" w:rsidP="00D5407E">
      <w:r>
        <w:separator/>
      </w:r>
    </w:p>
  </w:footnote>
  <w:footnote w:type="continuationSeparator" w:id="0">
    <w:p w14:paraId="70AFAB5B" w14:textId="77777777" w:rsidR="00AF1AD8" w:rsidRDefault="00AF1AD8" w:rsidP="00D5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2CBE" w14:textId="77777777" w:rsidR="00AF1AD8" w:rsidRDefault="00AF1AD8">
    <w:pPr>
      <w:pStyle w:val="Kopfzeile"/>
      <w:jc w:val="right"/>
    </w:pPr>
  </w:p>
  <w:p w14:paraId="39E44832" w14:textId="77777777" w:rsidR="00AF1AD8" w:rsidRDefault="00AF1AD8">
    <w:pPr>
      <w:pStyle w:val="Kopfzeile"/>
      <w:jc w:val="right"/>
    </w:pPr>
  </w:p>
  <w:sdt>
    <w:sdtPr>
      <w:id w:val="-1511605883"/>
      <w:docPartObj>
        <w:docPartGallery w:val="Page Numbers (Top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5B27179" w14:textId="6DFF6B1F" w:rsidR="00AF1AD8" w:rsidRPr="00751AE3" w:rsidRDefault="00AF1AD8">
        <w:pPr>
          <w:pStyle w:val="Kopfzeile"/>
          <w:jc w:val="right"/>
          <w:rPr>
            <w:rFonts w:ascii="Verdana" w:hAnsi="Verdana"/>
            <w:sz w:val="20"/>
            <w:szCs w:val="20"/>
          </w:rPr>
        </w:pPr>
        <w:r w:rsidRPr="00751AE3">
          <w:rPr>
            <w:rFonts w:ascii="Verdana" w:hAnsi="Verdana"/>
            <w:sz w:val="20"/>
            <w:szCs w:val="20"/>
          </w:rPr>
          <w:fldChar w:fldCharType="begin"/>
        </w:r>
        <w:r w:rsidRPr="00751AE3">
          <w:rPr>
            <w:rFonts w:ascii="Verdana" w:hAnsi="Verdana"/>
            <w:sz w:val="20"/>
            <w:szCs w:val="20"/>
          </w:rPr>
          <w:instrText>PAGE   \* MERGEFORMAT</w:instrText>
        </w:r>
        <w:r w:rsidRPr="00751AE3">
          <w:rPr>
            <w:rFonts w:ascii="Verdana" w:hAnsi="Verdana"/>
            <w:sz w:val="20"/>
            <w:szCs w:val="20"/>
          </w:rPr>
          <w:fldChar w:fldCharType="separate"/>
        </w:r>
        <w:r w:rsidR="00DE12F3">
          <w:rPr>
            <w:rFonts w:ascii="Verdana" w:hAnsi="Verdana"/>
            <w:noProof/>
            <w:sz w:val="20"/>
            <w:szCs w:val="20"/>
          </w:rPr>
          <w:t>2</w:t>
        </w:r>
        <w:r w:rsidRPr="00751AE3">
          <w:rPr>
            <w:rFonts w:ascii="Verdana" w:hAnsi="Verdana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7E"/>
    <w:rsid w:val="0001646B"/>
    <w:rsid w:val="000272B7"/>
    <w:rsid w:val="000B7F4C"/>
    <w:rsid w:val="0019401A"/>
    <w:rsid w:val="0019533E"/>
    <w:rsid w:val="00216F0C"/>
    <w:rsid w:val="00247C2D"/>
    <w:rsid w:val="00253187"/>
    <w:rsid w:val="002C2831"/>
    <w:rsid w:val="002C2F59"/>
    <w:rsid w:val="00415975"/>
    <w:rsid w:val="00467C6B"/>
    <w:rsid w:val="00493C0F"/>
    <w:rsid w:val="004B3A97"/>
    <w:rsid w:val="00600A71"/>
    <w:rsid w:val="0068720D"/>
    <w:rsid w:val="007C7FF3"/>
    <w:rsid w:val="007D394D"/>
    <w:rsid w:val="007F2B9E"/>
    <w:rsid w:val="00877F31"/>
    <w:rsid w:val="008F1ACB"/>
    <w:rsid w:val="008F32F4"/>
    <w:rsid w:val="0092468E"/>
    <w:rsid w:val="00934106"/>
    <w:rsid w:val="0095673A"/>
    <w:rsid w:val="009861E8"/>
    <w:rsid w:val="009F1763"/>
    <w:rsid w:val="00A6690F"/>
    <w:rsid w:val="00AA48D5"/>
    <w:rsid w:val="00AB754F"/>
    <w:rsid w:val="00AD5891"/>
    <w:rsid w:val="00AF1AD8"/>
    <w:rsid w:val="00B0111F"/>
    <w:rsid w:val="00B02DCF"/>
    <w:rsid w:val="00B30BDA"/>
    <w:rsid w:val="00B94572"/>
    <w:rsid w:val="00BE1EFA"/>
    <w:rsid w:val="00C5089E"/>
    <w:rsid w:val="00C97F7F"/>
    <w:rsid w:val="00D22E5E"/>
    <w:rsid w:val="00D5407E"/>
    <w:rsid w:val="00DE12F3"/>
    <w:rsid w:val="00E41F4E"/>
    <w:rsid w:val="00EA794E"/>
    <w:rsid w:val="00EC30F5"/>
    <w:rsid w:val="00EC733B"/>
    <w:rsid w:val="00F35904"/>
    <w:rsid w:val="00FA4B8C"/>
    <w:rsid w:val="00FC68FD"/>
    <w:rsid w:val="00FD7354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00EE"/>
  <w15:chartTrackingRefBased/>
  <w15:docId w15:val="{A511E80C-C10E-48D1-96EB-7A58071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407E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40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407E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40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407E"/>
    <w:rPr>
      <w:rFonts w:eastAsiaTheme="minorEastAsia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9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975"/>
    <w:rPr>
      <w:rFonts w:ascii="Segoe UI" w:eastAsiaTheme="minorEastAsia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30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30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30F5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30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30F5"/>
    <w:rPr>
      <w:rFonts w:eastAsiaTheme="minorEastAsia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C733B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15269A9AA047479265239724020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4889D-A812-4A0A-8F85-D1216E9F35F6}"/>
      </w:docPartPr>
      <w:docPartBody>
        <w:p w:rsidR="007E00EC" w:rsidRDefault="00312373" w:rsidP="00312373">
          <w:pPr>
            <w:pStyle w:val="CD15269A9AA047479265239724020074"/>
          </w:pPr>
          <w:r w:rsidRPr="00E7493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73"/>
    <w:rsid w:val="000B0F5F"/>
    <w:rsid w:val="0029268D"/>
    <w:rsid w:val="00312373"/>
    <w:rsid w:val="00705A68"/>
    <w:rsid w:val="007E00EC"/>
    <w:rsid w:val="009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2373"/>
    <w:rPr>
      <w:color w:val="808080"/>
    </w:rPr>
  </w:style>
  <w:style w:type="paragraph" w:customStyle="1" w:styleId="CD15269A9AA047479265239724020074">
    <w:name w:val="CD15269A9AA047479265239724020074"/>
    <w:rsid w:val="00312373"/>
  </w:style>
  <w:style w:type="paragraph" w:customStyle="1" w:styleId="5AF2CD0E3B9148C9A129B6A56948C2A1">
    <w:name w:val="5AF2CD0E3B9148C9A129B6A56948C2A1"/>
    <w:rsid w:val="0031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Landesbetrieb Mobilität Rheinland-Pfalz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Peter (LBM Zentrale)</dc:creator>
  <cp:keywords/>
  <dc:description/>
  <cp:lastModifiedBy>Reiss-Gerwig, Daniel, Universitätsstadt Tübingen</cp:lastModifiedBy>
  <cp:revision>3</cp:revision>
  <cp:lastPrinted>2022-08-04T13:37:00Z</cp:lastPrinted>
  <dcterms:created xsi:type="dcterms:W3CDTF">2022-12-22T13:59:00Z</dcterms:created>
  <dcterms:modified xsi:type="dcterms:W3CDTF">2022-12-22T14:01:00Z</dcterms:modified>
</cp:coreProperties>
</file>