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C1F1" w14:textId="77777777" w:rsidR="0074528E" w:rsidRDefault="00000000">
      <w:pPr>
        <w:pStyle w:val="berschrift3"/>
        <w:spacing w:before="0"/>
        <w:rPr>
          <w:rFonts w:ascii="F" w:hAnsi="F"/>
        </w:rPr>
      </w:pPr>
      <w:r>
        <w:rPr>
          <w:rFonts w:ascii="F" w:hAnsi="F"/>
        </w:rPr>
        <w:t xml:space="preserve">Leistungsbeschreibung – Mobile </w:t>
      </w:r>
      <w:proofErr w:type="spellStart"/>
      <w:r>
        <w:rPr>
          <w:rFonts w:ascii="F" w:hAnsi="F"/>
        </w:rPr>
        <w:t>Powerstations</w:t>
      </w:r>
      <w:proofErr w:type="spellEnd"/>
    </w:p>
    <w:p w14:paraId="2A4D088E" w14:textId="77777777" w:rsidR="0074528E" w:rsidRDefault="00000000">
      <w:pPr>
        <w:pStyle w:val="berschrift3"/>
        <w:rPr>
          <w:rFonts w:ascii="F" w:hAnsi="F"/>
        </w:rPr>
      </w:pPr>
      <w:r>
        <w:rPr>
          <w:rFonts w:ascii="F" w:hAnsi="F"/>
        </w:rPr>
        <w:t>Anzahl: 2 Stück</w:t>
      </w:r>
    </w:p>
    <w:p w14:paraId="684DE66E" w14:textId="77777777" w:rsidR="0074528E" w:rsidRDefault="00000000">
      <w:pPr>
        <w:pStyle w:val="KeinLeerraum"/>
      </w:pPr>
      <w:r>
        <w:rPr>
          <w:rFonts w:ascii="F" w:hAnsi="F"/>
          <w:b/>
          <w:bCs/>
        </w:rPr>
        <w:t>1. Beschaffungsgegenstand</w:t>
      </w:r>
    </w:p>
    <w:p w14:paraId="0F8E08AB" w14:textId="2D0E7225" w:rsidR="0074528E" w:rsidRDefault="00000000">
      <w:pPr>
        <w:pStyle w:val="Textbody"/>
        <w:rPr>
          <w:rFonts w:ascii="F" w:hAnsi="F"/>
        </w:rPr>
      </w:pPr>
      <w:r>
        <w:rPr>
          <w:rFonts w:ascii="F" w:hAnsi="F"/>
        </w:rPr>
        <w:t xml:space="preserve">Beschafft werden </w:t>
      </w:r>
      <w:r w:rsidR="00896F27">
        <w:rPr>
          <w:rFonts w:ascii="F" w:hAnsi="F"/>
        </w:rPr>
        <w:t xml:space="preserve">sollen </w:t>
      </w:r>
      <w:r>
        <w:rPr>
          <w:rFonts w:ascii="F" w:hAnsi="F"/>
        </w:rPr>
        <w:t xml:space="preserve">zwei mobile </w:t>
      </w:r>
      <w:proofErr w:type="spellStart"/>
      <w:r>
        <w:rPr>
          <w:rFonts w:ascii="F" w:hAnsi="F"/>
        </w:rPr>
        <w:t>Powerstations</w:t>
      </w:r>
      <w:proofErr w:type="spellEnd"/>
      <w:r>
        <w:rPr>
          <w:rFonts w:ascii="F" w:hAnsi="F"/>
        </w:rPr>
        <w:t xml:space="preserve"> für den Einsatz in Forschungs-, Entwicklungs- und Testumgebungen besonders für den Outdoor-Bereich. Die </w:t>
      </w:r>
      <w:proofErr w:type="spellStart"/>
      <w:r>
        <w:rPr>
          <w:rFonts w:ascii="F" w:hAnsi="F"/>
        </w:rPr>
        <w:t>Powerstations</w:t>
      </w:r>
      <w:proofErr w:type="spellEnd"/>
      <w:r>
        <w:rPr>
          <w:rFonts w:ascii="F" w:hAnsi="F"/>
        </w:rPr>
        <w:t xml:space="preserve"> müssen für den Dauerbetrieb geeignet sein und eine hohe Energiekapazität sowie vielfältige Anschlüsse für verschiedene Geräte bereitstellen.</w:t>
      </w:r>
    </w:p>
    <w:p w14:paraId="56EF4184" w14:textId="77777777" w:rsidR="0074528E" w:rsidRDefault="00000000">
      <w:pPr>
        <w:pStyle w:val="KeinLeerraum"/>
        <w:rPr>
          <w:rFonts w:ascii="F" w:hAnsi="F"/>
        </w:rPr>
      </w:pPr>
      <w:r>
        <w:rPr>
          <w:rFonts w:ascii="F" w:hAnsi="F"/>
        </w:rPr>
        <w:t>Anbieter, welche die Mindestanforderungen nicht erfüllen, werden von der Vergabe ausgeschlossen.</w:t>
      </w:r>
    </w:p>
    <w:p w14:paraId="33B1440A" w14:textId="77777777" w:rsidR="0074528E" w:rsidRDefault="0074528E">
      <w:pPr>
        <w:pStyle w:val="KeinLeerraum"/>
        <w:rPr>
          <w:rFonts w:ascii="F" w:hAnsi="F"/>
        </w:rPr>
      </w:pPr>
    </w:p>
    <w:p w14:paraId="328BFA5E" w14:textId="77777777" w:rsidR="0074528E" w:rsidRDefault="00000000">
      <w:pPr>
        <w:pStyle w:val="KeinLeerraum"/>
      </w:pPr>
      <w:r>
        <w:rPr>
          <w:rFonts w:ascii="F" w:hAnsi="F"/>
          <w:b/>
          <w:bCs/>
        </w:rPr>
        <w:t>2. Mindestanforderungen</w:t>
      </w:r>
    </w:p>
    <w:p w14:paraId="3F10AD9B" w14:textId="77777777" w:rsidR="0074528E" w:rsidRDefault="00000000">
      <w:pPr>
        <w:pStyle w:val="KeinLeerraum"/>
        <w:rPr>
          <w:rFonts w:ascii="F" w:hAnsi="F"/>
        </w:rPr>
      </w:pPr>
      <w:r>
        <w:rPr>
          <w:rFonts w:ascii="F" w:hAnsi="F"/>
        </w:rPr>
        <w:t>Das angebotene System muss folgende Anforderungen erfüllen:</w:t>
      </w:r>
    </w:p>
    <w:p w14:paraId="7DE0FBC1" w14:textId="77777777" w:rsidR="0074528E" w:rsidRDefault="00000000">
      <w:pPr>
        <w:pStyle w:val="KeinLeerraum"/>
        <w:numPr>
          <w:ilvl w:val="0"/>
          <w:numId w:val="6"/>
        </w:numPr>
      </w:pPr>
      <w:r>
        <w:rPr>
          <w:rFonts w:ascii="F" w:hAnsi="F"/>
        </w:rPr>
        <w:t>Energiekapazität: Mindestens 2.000 Wh (Wattstunden)</w:t>
      </w:r>
    </w:p>
    <w:p w14:paraId="3B272342" w14:textId="77777777" w:rsidR="0074528E" w:rsidRDefault="00000000">
      <w:pPr>
        <w:pStyle w:val="KeinLeerraum"/>
        <w:numPr>
          <w:ilvl w:val="0"/>
          <w:numId w:val="2"/>
        </w:numPr>
      </w:pPr>
      <w:r>
        <w:rPr>
          <w:rFonts w:ascii="F" w:hAnsi="F"/>
        </w:rPr>
        <w:t>Ausgangsleistung (Dauerleistung): Mindestens 2.000 Watt (AC)</w:t>
      </w:r>
    </w:p>
    <w:p w14:paraId="67807676" w14:textId="77777777" w:rsidR="0074528E" w:rsidRDefault="00000000">
      <w:pPr>
        <w:pStyle w:val="KeinLeerraum"/>
        <w:numPr>
          <w:ilvl w:val="0"/>
          <w:numId w:val="2"/>
        </w:numPr>
      </w:pPr>
      <w:r>
        <w:rPr>
          <w:rStyle w:val="StrongEmphasis"/>
          <w:rFonts w:ascii="F" w:hAnsi="F"/>
          <w:b w:val="0"/>
          <w:bCs w:val="0"/>
        </w:rPr>
        <w:t>Batterietyp: Lithium-Eisenphosphat (LiFePO4) mit hoher Lebensdauer (min. 80% nach 3000 Ladezyklen)</w:t>
      </w:r>
    </w:p>
    <w:p w14:paraId="464D84C1" w14:textId="77777777" w:rsidR="0074528E" w:rsidRDefault="00000000">
      <w:pPr>
        <w:pStyle w:val="KeinLeerraum"/>
        <w:numPr>
          <w:ilvl w:val="0"/>
          <w:numId w:val="2"/>
        </w:numPr>
      </w:pPr>
      <w:r>
        <w:rPr>
          <w:rStyle w:val="StrongEmphasis"/>
          <w:rFonts w:ascii="F" w:hAnsi="F"/>
          <w:b w:val="0"/>
          <w:bCs w:val="0"/>
        </w:rPr>
        <w:t>Anschlüsse:</w:t>
      </w:r>
    </w:p>
    <w:p w14:paraId="26EAAB91" w14:textId="77777777" w:rsidR="0074528E" w:rsidRDefault="00000000">
      <w:pPr>
        <w:pStyle w:val="KeinLeerraum"/>
        <w:numPr>
          <w:ilvl w:val="1"/>
          <w:numId w:val="2"/>
        </w:numPr>
      </w:pPr>
      <w:r>
        <w:rPr>
          <w:rStyle w:val="StrongEmphasis"/>
          <w:rFonts w:ascii="F" w:hAnsi="F"/>
          <w:b w:val="0"/>
          <w:bCs w:val="0"/>
        </w:rPr>
        <w:t>Mindestens 3 × AC-Steckdosen (230V, 50Hz, Sinuswelle)</w:t>
      </w:r>
    </w:p>
    <w:p w14:paraId="13C4B025" w14:textId="77777777" w:rsidR="0074528E" w:rsidRDefault="00000000">
      <w:pPr>
        <w:pStyle w:val="KeinLeerraum"/>
        <w:numPr>
          <w:ilvl w:val="1"/>
          <w:numId w:val="2"/>
        </w:numPr>
      </w:pPr>
      <w:r>
        <w:rPr>
          <w:rStyle w:val="StrongEmphasis"/>
          <w:rFonts w:ascii="F" w:hAnsi="F"/>
          <w:b w:val="0"/>
          <w:bCs w:val="0"/>
        </w:rPr>
        <w:t xml:space="preserve">Mindestens 2 × USB-C-Anschlüsse (mind. 100W Power </w:t>
      </w:r>
      <w:proofErr w:type="spellStart"/>
      <w:r>
        <w:rPr>
          <w:rStyle w:val="StrongEmphasis"/>
          <w:rFonts w:ascii="F" w:hAnsi="F"/>
          <w:b w:val="0"/>
          <w:bCs w:val="0"/>
        </w:rPr>
        <w:t>Delivery</w:t>
      </w:r>
      <w:proofErr w:type="spellEnd"/>
      <w:r>
        <w:rPr>
          <w:rStyle w:val="StrongEmphasis"/>
          <w:rFonts w:ascii="F" w:hAnsi="F"/>
          <w:b w:val="0"/>
          <w:bCs w:val="0"/>
        </w:rPr>
        <w:t>)</w:t>
      </w:r>
    </w:p>
    <w:p w14:paraId="7BA64671" w14:textId="77777777" w:rsidR="0074528E" w:rsidRDefault="00000000">
      <w:pPr>
        <w:pStyle w:val="KeinLeerraum"/>
        <w:numPr>
          <w:ilvl w:val="1"/>
          <w:numId w:val="2"/>
        </w:numPr>
      </w:pPr>
      <w:r>
        <w:rPr>
          <w:rStyle w:val="StrongEmphasis"/>
          <w:rFonts w:ascii="F" w:hAnsi="F"/>
          <w:b w:val="0"/>
          <w:bCs w:val="0"/>
        </w:rPr>
        <w:t>Mindestens 1 × USB-A-Anschluss</w:t>
      </w:r>
    </w:p>
    <w:p w14:paraId="34E95670" w14:textId="77777777" w:rsidR="0074528E" w:rsidRDefault="00000000">
      <w:pPr>
        <w:pStyle w:val="KeinLeerraum"/>
        <w:numPr>
          <w:ilvl w:val="1"/>
          <w:numId w:val="2"/>
        </w:numPr>
      </w:pPr>
      <w:r>
        <w:rPr>
          <w:rStyle w:val="StrongEmphasis"/>
          <w:rFonts w:ascii="F" w:hAnsi="F"/>
          <w:b w:val="0"/>
          <w:bCs w:val="0"/>
        </w:rPr>
        <w:t>Mindestens 1 × 12V KFZ-DC-Ausgang</w:t>
      </w:r>
    </w:p>
    <w:p w14:paraId="76A5C40D" w14:textId="77777777" w:rsidR="0074528E" w:rsidRDefault="00000000">
      <w:pPr>
        <w:pStyle w:val="KeinLeerraum"/>
        <w:numPr>
          <w:ilvl w:val="1"/>
          <w:numId w:val="2"/>
        </w:numPr>
        <w:rPr>
          <w:rFonts w:ascii="F" w:hAnsi="F"/>
        </w:rPr>
      </w:pPr>
      <w:r>
        <w:rPr>
          <w:rFonts w:ascii="F" w:hAnsi="F"/>
        </w:rPr>
        <w:t>Mindestens 1 x AC-Ladeanschluss (230V, 50Hz)</w:t>
      </w:r>
    </w:p>
    <w:p w14:paraId="505F1DDC" w14:textId="77777777" w:rsidR="0074528E" w:rsidRDefault="00000000">
      <w:pPr>
        <w:pStyle w:val="Textbody"/>
        <w:numPr>
          <w:ilvl w:val="0"/>
          <w:numId w:val="2"/>
        </w:numPr>
      </w:pPr>
      <w:r>
        <w:rPr>
          <w:rFonts w:ascii="F" w:hAnsi="F"/>
        </w:rPr>
        <w:t xml:space="preserve">Gewicht unter </w:t>
      </w:r>
      <w:r>
        <w:rPr>
          <w:rStyle w:val="StrongEmphasis"/>
          <w:b w:val="0"/>
          <w:bCs w:val="0"/>
        </w:rPr>
        <w:t>30 kg</w:t>
      </w:r>
    </w:p>
    <w:p w14:paraId="6C095391" w14:textId="77777777" w:rsidR="0074528E" w:rsidRDefault="00000000">
      <w:pPr>
        <w:pStyle w:val="Textbody"/>
        <w:numPr>
          <w:ilvl w:val="0"/>
          <w:numId w:val="2"/>
        </w:numPr>
      </w:pPr>
      <w:r>
        <w:rPr>
          <w:rStyle w:val="StrongEmphasis"/>
          <w:b w:val="0"/>
          <w:bCs w:val="0"/>
        </w:rPr>
        <w:t>Überladungsschutz, Überhitzungsschutz, Kurzschlussschutz,</w:t>
      </w:r>
      <w:r>
        <w:rPr>
          <w:rStyle w:val="StrongEmphasis"/>
          <w:b w:val="0"/>
          <w:bCs w:val="0"/>
        </w:rPr>
        <w:br/>
        <w:t>Tiefentladungsschutz</w:t>
      </w:r>
    </w:p>
    <w:p w14:paraId="3CD7C8ED" w14:textId="77777777" w:rsidR="0074528E" w:rsidRDefault="00000000">
      <w:pPr>
        <w:pStyle w:val="KeinLeerraum"/>
        <w:numPr>
          <w:ilvl w:val="0"/>
          <w:numId w:val="2"/>
        </w:numPr>
      </w:pPr>
      <w:r>
        <w:rPr>
          <w:rFonts w:ascii="F" w:hAnsi="F"/>
        </w:rPr>
        <w:t>Betriebstemperaturbereich: -10°C bis 40°C</w:t>
      </w:r>
    </w:p>
    <w:p w14:paraId="3D4411A0" w14:textId="77777777" w:rsidR="0074528E" w:rsidRDefault="0074528E">
      <w:pPr>
        <w:pStyle w:val="KeinLeerraum"/>
        <w:rPr>
          <w:rFonts w:ascii="F" w:hAnsi="F"/>
        </w:rPr>
      </w:pPr>
    </w:p>
    <w:p w14:paraId="776505AE" w14:textId="77777777" w:rsidR="0074528E" w:rsidRDefault="00000000">
      <w:pPr>
        <w:pStyle w:val="KeinLeerraum"/>
      </w:pPr>
      <w:r>
        <w:rPr>
          <w:rFonts w:ascii="F" w:hAnsi="F"/>
          <w:b/>
          <w:bCs/>
        </w:rPr>
        <w:t>3. Vergleichsstandard und Gleichwertigkeit</w:t>
      </w:r>
    </w:p>
    <w:p w14:paraId="7997ED40" w14:textId="77777777" w:rsidR="0074528E" w:rsidRDefault="00000000">
      <w:pPr>
        <w:pStyle w:val="KeinLeerraum"/>
        <w:numPr>
          <w:ilvl w:val="0"/>
          <w:numId w:val="7"/>
        </w:numPr>
      </w:pPr>
      <w:r>
        <w:rPr>
          <w:rFonts w:ascii="F" w:hAnsi="F"/>
        </w:rPr>
        <w:t xml:space="preserve">Als Referenzsysteme dienen: </w:t>
      </w:r>
      <w:proofErr w:type="spellStart"/>
      <w:r>
        <w:rPr>
          <w:rFonts w:ascii="F" w:hAnsi="F"/>
        </w:rPr>
        <w:t>Jackery</w:t>
      </w:r>
      <w:proofErr w:type="spellEnd"/>
      <w:r>
        <w:rPr>
          <w:rFonts w:ascii="F" w:hAnsi="F"/>
        </w:rPr>
        <w:t xml:space="preserve"> Explorer 2000 Plus, Anker </w:t>
      </w:r>
      <w:proofErr w:type="spellStart"/>
      <w:r>
        <w:rPr>
          <w:rFonts w:ascii="F" w:hAnsi="F"/>
        </w:rPr>
        <w:t>Solix</w:t>
      </w:r>
      <w:proofErr w:type="spellEnd"/>
      <w:r>
        <w:rPr>
          <w:rFonts w:ascii="F" w:hAnsi="F"/>
        </w:rPr>
        <w:t xml:space="preserve"> C2000 oder </w:t>
      </w:r>
      <w:proofErr w:type="spellStart"/>
      <w:r>
        <w:rPr>
          <w:rFonts w:ascii="F" w:hAnsi="F"/>
        </w:rPr>
        <w:t>EcoFlow</w:t>
      </w:r>
      <w:proofErr w:type="spellEnd"/>
      <w:r>
        <w:rPr>
          <w:rFonts w:ascii="F" w:hAnsi="F"/>
        </w:rPr>
        <w:t xml:space="preserve"> Delta 2 Max.</w:t>
      </w:r>
    </w:p>
    <w:p w14:paraId="5475B8FE" w14:textId="357244C4" w:rsidR="0074528E" w:rsidRDefault="00000000">
      <w:pPr>
        <w:pStyle w:val="KeinLeerraum"/>
        <w:numPr>
          <w:ilvl w:val="0"/>
          <w:numId w:val="3"/>
        </w:numPr>
        <w:rPr>
          <w:rFonts w:ascii="F" w:hAnsi="F"/>
        </w:rPr>
      </w:pPr>
      <w:r>
        <w:rPr>
          <w:rFonts w:ascii="F" w:hAnsi="F"/>
        </w:rPr>
        <w:t>D</w:t>
      </w:r>
      <w:r w:rsidR="00896F27">
        <w:rPr>
          <w:rFonts w:ascii="F" w:hAnsi="F"/>
        </w:rPr>
        <w:t>ie</w:t>
      </w:r>
      <w:r>
        <w:rPr>
          <w:rFonts w:ascii="F" w:hAnsi="F"/>
        </w:rPr>
        <w:t xml:space="preserve"> Referenzsysteme dienen ausschließlich der funktionalen und leistungsbezogenen Orientierung. Angebote anderer Hersteller sind ausdrücklich zulässig, sofern diese die in Abschnitt 2 definierten Mindestanforderungen vollständig erfüllen.</w:t>
      </w:r>
    </w:p>
    <w:p w14:paraId="4346D525" w14:textId="77777777" w:rsidR="0074528E" w:rsidRDefault="00000000">
      <w:pPr>
        <w:pStyle w:val="KeinLeerraum"/>
        <w:numPr>
          <w:ilvl w:val="0"/>
          <w:numId w:val="3"/>
        </w:numPr>
        <w:rPr>
          <w:rFonts w:ascii="F" w:hAnsi="F"/>
        </w:rPr>
      </w:pPr>
      <w:r>
        <w:rPr>
          <w:rFonts w:ascii="F" w:hAnsi="F"/>
        </w:rPr>
        <w:t>Die Gleichwertigkeit ist durch geeignete technische Unterlagen, insbesondere Datenblätter oder Herstellerinformationen, nachzuweisen.</w:t>
      </w:r>
    </w:p>
    <w:p w14:paraId="0F6BC35D" w14:textId="77777777" w:rsidR="0074528E" w:rsidRDefault="0074528E">
      <w:pPr>
        <w:pStyle w:val="KeinLeerraum"/>
        <w:rPr>
          <w:rFonts w:ascii="F" w:hAnsi="F"/>
        </w:rPr>
      </w:pPr>
    </w:p>
    <w:p w14:paraId="34326EDF" w14:textId="77777777" w:rsidR="0074528E" w:rsidRDefault="00000000">
      <w:pPr>
        <w:pStyle w:val="KeinLeerraum"/>
      </w:pPr>
      <w:r>
        <w:rPr>
          <w:rFonts w:ascii="F" w:hAnsi="F"/>
          <w:b/>
          <w:bCs/>
        </w:rPr>
        <w:t>4. Lieferumfang</w:t>
      </w:r>
    </w:p>
    <w:p w14:paraId="0DD441AC" w14:textId="77777777" w:rsidR="0074528E" w:rsidRDefault="00000000">
      <w:pPr>
        <w:pStyle w:val="KeinLeerraum"/>
        <w:numPr>
          <w:ilvl w:val="0"/>
          <w:numId w:val="8"/>
        </w:numPr>
        <w:rPr>
          <w:rFonts w:ascii="F" w:hAnsi="F"/>
        </w:rPr>
      </w:pPr>
      <w:r>
        <w:rPr>
          <w:rFonts w:ascii="F" w:hAnsi="F"/>
        </w:rPr>
        <w:t xml:space="preserve">Mobile </w:t>
      </w:r>
      <w:proofErr w:type="spellStart"/>
      <w:r>
        <w:rPr>
          <w:rFonts w:ascii="F" w:hAnsi="F"/>
        </w:rPr>
        <w:t>Powerstations</w:t>
      </w:r>
      <w:proofErr w:type="spellEnd"/>
      <w:r>
        <w:rPr>
          <w:rFonts w:ascii="F" w:hAnsi="F"/>
        </w:rPr>
        <w:t xml:space="preserve"> (Hauptgeräte)</w:t>
      </w:r>
    </w:p>
    <w:p w14:paraId="22E8231A" w14:textId="77777777" w:rsidR="0074528E" w:rsidRDefault="00000000">
      <w:pPr>
        <w:pStyle w:val="KeinLeerraum"/>
        <w:numPr>
          <w:ilvl w:val="0"/>
          <w:numId w:val="4"/>
        </w:numPr>
        <w:rPr>
          <w:rFonts w:ascii="F" w:hAnsi="F"/>
        </w:rPr>
      </w:pPr>
      <w:r>
        <w:rPr>
          <w:rFonts w:ascii="F" w:hAnsi="F"/>
        </w:rPr>
        <w:t>Netzkabel für AC-Ladung (EU-Stecker)</w:t>
      </w:r>
    </w:p>
    <w:p w14:paraId="3E975817" w14:textId="77777777" w:rsidR="0074528E" w:rsidRDefault="00000000">
      <w:pPr>
        <w:pStyle w:val="KeinLeerraum"/>
        <w:numPr>
          <w:ilvl w:val="0"/>
          <w:numId w:val="4"/>
        </w:numPr>
        <w:rPr>
          <w:rFonts w:ascii="F" w:hAnsi="F"/>
        </w:rPr>
      </w:pPr>
      <w:r>
        <w:rPr>
          <w:rFonts w:ascii="F" w:hAnsi="F"/>
        </w:rPr>
        <w:t>Bedienungsanleitung (deutsch/englisch)</w:t>
      </w:r>
    </w:p>
    <w:p w14:paraId="4F1B344F" w14:textId="77777777" w:rsidR="0074528E" w:rsidRDefault="00000000">
      <w:pPr>
        <w:pStyle w:val="KeinLeerraum"/>
        <w:numPr>
          <w:ilvl w:val="0"/>
          <w:numId w:val="4"/>
        </w:numPr>
      </w:pPr>
      <w:r>
        <w:rPr>
          <w:rFonts w:ascii="F" w:hAnsi="F"/>
        </w:rPr>
        <w:t>Vollständige technische Dokumentation</w:t>
      </w:r>
    </w:p>
    <w:sectPr w:rsidR="0074528E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4C58" w14:textId="77777777" w:rsidR="004C68E3" w:rsidRDefault="004C68E3">
      <w:pPr>
        <w:spacing w:after="0" w:line="240" w:lineRule="auto"/>
      </w:pPr>
      <w:r>
        <w:separator/>
      </w:r>
    </w:p>
  </w:endnote>
  <w:endnote w:type="continuationSeparator" w:id="0">
    <w:p w14:paraId="06850937" w14:textId="77777777" w:rsidR="004C68E3" w:rsidRDefault="004C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1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charset w:val="02"/>
    <w:family w:val="auto"/>
    <w:pitch w:val="default"/>
  </w:font>
  <w:font w:name="F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4BBF" w14:textId="77777777" w:rsidR="004C68E3" w:rsidRDefault="004C68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3028EA" w14:textId="77777777" w:rsidR="004C68E3" w:rsidRDefault="004C6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E7A9B"/>
    <w:multiLevelType w:val="multilevel"/>
    <w:tmpl w:val="DB48FC48"/>
    <w:styleLink w:val="WWNum3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Calibri" w:hAnsi="Calibri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Calibri" w:hAnsi="Calibri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Calibri" w:hAnsi="Calibri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Calibri" w:hAnsi="Calibri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 w:cs="Wingdings"/>
        <w:sz w:val="20"/>
      </w:rPr>
    </w:lvl>
  </w:abstractNum>
  <w:abstractNum w:abstractNumId="1" w15:restartNumberingAfterBreak="0">
    <w:nsid w:val="6DC14993"/>
    <w:multiLevelType w:val="multilevel"/>
    <w:tmpl w:val="9D30E96C"/>
    <w:styleLink w:val="Keine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" w15:restartNumberingAfterBreak="0">
    <w:nsid w:val="6F3D36F5"/>
    <w:multiLevelType w:val="multilevel"/>
    <w:tmpl w:val="312E0C64"/>
    <w:styleLink w:val="WWNum2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Calibri" w:hAnsi="Calibri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Calibri" w:hAnsi="Calibri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Calibri" w:hAnsi="Calibri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Calibri" w:hAnsi="Calibri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 w:cs="Wingdings"/>
        <w:sz w:val="20"/>
      </w:rPr>
    </w:lvl>
  </w:abstractNum>
  <w:abstractNum w:abstractNumId="3" w15:restartNumberingAfterBreak="0">
    <w:nsid w:val="72131812"/>
    <w:multiLevelType w:val="multilevel"/>
    <w:tmpl w:val="559CCAA8"/>
    <w:styleLink w:val="WWNum1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Calibri" w:hAnsi="Calibri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Calibri" w:hAnsi="Calibri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Calibri" w:hAnsi="Calibri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Calibri" w:hAnsi="Calibri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 w:cs="Wingdings"/>
        <w:sz w:val="20"/>
      </w:rPr>
    </w:lvl>
  </w:abstractNum>
  <w:abstractNum w:abstractNumId="4" w15:restartNumberingAfterBreak="0">
    <w:nsid w:val="782910C0"/>
    <w:multiLevelType w:val="multilevel"/>
    <w:tmpl w:val="85BC1360"/>
    <w:styleLink w:val="WWNum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679044252">
    <w:abstractNumId w:val="1"/>
  </w:num>
  <w:num w:numId="2" w16cid:durableId="272565777">
    <w:abstractNumId w:val="3"/>
  </w:num>
  <w:num w:numId="3" w16cid:durableId="1282685800">
    <w:abstractNumId w:val="2"/>
  </w:num>
  <w:num w:numId="4" w16cid:durableId="2014918939">
    <w:abstractNumId w:val="0"/>
  </w:num>
  <w:num w:numId="5" w16cid:durableId="1540358424">
    <w:abstractNumId w:val="4"/>
  </w:num>
  <w:num w:numId="6" w16cid:durableId="1809781581">
    <w:abstractNumId w:val="3"/>
  </w:num>
  <w:num w:numId="7" w16cid:durableId="15347419">
    <w:abstractNumId w:val="2"/>
  </w:num>
  <w:num w:numId="8" w16cid:durableId="182138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28E"/>
    <w:rsid w:val="00340FD0"/>
    <w:rsid w:val="004C68E3"/>
    <w:rsid w:val="00721A3C"/>
    <w:rsid w:val="0074528E"/>
    <w:rsid w:val="007B4B21"/>
    <w:rsid w:val="00896F27"/>
    <w:rsid w:val="00CE2844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83EE"/>
  <w15:docId w15:val="{A758529E-BE15-48D0-8809-5CBCB781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1"/>
        <w:sz w:val="22"/>
        <w:szCs w:val="22"/>
        <w:lang w:val="de-DE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/>
      <w:spacing w:after="160" w:line="251" w:lineRule="auto"/>
    </w:pPr>
  </w:style>
  <w:style w:type="paragraph" w:styleId="berschrift1">
    <w:name w:val="heading 1"/>
    <w:basedOn w:val="Standard"/>
    <w:uiPriority w:val="9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de-DE"/>
    </w:rPr>
  </w:style>
  <w:style w:type="paragraph" w:styleId="berschrift2">
    <w:name w:val="heading 2"/>
    <w:basedOn w:val="Standard"/>
    <w:uiPriority w:val="9"/>
    <w:unhideWhenUsed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uiPriority w:val="9"/>
    <w:unhideWhenUsed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Noto Sans Devanagar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customStyle="1" w:styleId="berschrift">
    <w:name w:val="Überschrift"/>
    <w:basedOn w:val="Standard"/>
    <w:next w:val="Textbody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Standard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pPr>
      <w:widowControl/>
      <w:suppressAutoHyphen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berschrift1Zchn">
    <w:name w:val="Überschrift 1 Zchn"/>
    <w:basedOn w:val="Absatz-Standardschriftart"/>
    <w:rPr>
      <w:rFonts w:ascii="Times New Roman" w:eastAsia="Times New Roman" w:hAnsi="Times New Roman" w:cs="Times New Roman"/>
      <w:b/>
      <w:bCs/>
      <w:kern w:val="3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StrongEmphasis">
    <w:name w:val="Strong Emphasis"/>
    <w:basedOn w:val="Absatz-Standardschriftart"/>
    <w:rPr>
      <w:b/>
      <w:bCs/>
    </w:rPr>
  </w:style>
  <w:style w:type="character" w:customStyle="1" w:styleId="ListLabel1">
    <w:name w:val="ListLabel 1"/>
    <w:rPr>
      <w:rFonts w:ascii="Calibri" w:eastAsia="Calibri" w:hAnsi="Calibri" w:cs="Symbol"/>
      <w:sz w:val="20"/>
    </w:rPr>
  </w:style>
  <w:style w:type="character" w:customStyle="1" w:styleId="ListLabel2">
    <w:name w:val="ListLabel 2"/>
    <w:rPr>
      <w:rFonts w:cs="Courier New"/>
      <w:sz w:val="20"/>
    </w:rPr>
  </w:style>
  <w:style w:type="character" w:customStyle="1" w:styleId="ListLabel3">
    <w:name w:val="ListLabel 3"/>
    <w:rPr>
      <w:rFonts w:ascii="Calibri" w:eastAsia="Calibri" w:hAnsi="Calibri" w:cs="Wingdings"/>
      <w:sz w:val="20"/>
    </w:rPr>
  </w:style>
  <w:style w:type="character" w:customStyle="1" w:styleId="ListLabel4">
    <w:name w:val="ListLabel 4"/>
    <w:rPr>
      <w:rFonts w:ascii="Calibri" w:eastAsia="Calibri" w:hAnsi="Calibri" w:cs="Wingdings"/>
      <w:sz w:val="20"/>
    </w:rPr>
  </w:style>
  <w:style w:type="character" w:customStyle="1" w:styleId="ListLabel5">
    <w:name w:val="ListLabel 5"/>
    <w:rPr>
      <w:rFonts w:ascii="Calibri" w:eastAsia="Calibri" w:hAnsi="Calibri" w:cs="Wingdings"/>
      <w:sz w:val="20"/>
    </w:rPr>
  </w:style>
  <w:style w:type="character" w:customStyle="1" w:styleId="ListLabel6">
    <w:name w:val="ListLabel 6"/>
    <w:rPr>
      <w:rFonts w:ascii="Calibri" w:eastAsia="Calibri" w:hAnsi="Calibri" w:cs="Wingdings"/>
      <w:sz w:val="20"/>
    </w:rPr>
  </w:style>
  <w:style w:type="character" w:customStyle="1" w:styleId="ListLabel7">
    <w:name w:val="ListLabel 7"/>
    <w:rPr>
      <w:rFonts w:ascii="Calibri" w:eastAsia="Calibri" w:hAnsi="Calibri" w:cs="Wingdings"/>
      <w:sz w:val="20"/>
    </w:rPr>
  </w:style>
  <w:style w:type="character" w:customStyle="1" w:styleId="ListLabel8">
    <w:name w:val="ListLabel 8"/>
    <w:rPr>
      <w:rFonts w:ascii="Calibri" w:eastAsia="Calibri" w:hAnsi="Calibri" w:cs="Wingdings"/>
      <w:sz w:val="20"/>
    </w:rPr>
  </w:style>
  <w:style w:type="character" w:customStyle="1" w:styleId="ListLabel9">
    <w:name w:val="ListLabel 9"/>
    <w:rPr>
      <w:rFonts w:ascii="Calibri" w:eastAsia="Calibri" w:hAnsi="Calibri" w:cs="Wingdings"/>
      <w:sz w:val="20"/>
    </w:rPr>
  </w:style>
  <w:style w:type="character" w:customStyle="1" w:styleId="ListLabel10">
    <w:name w:val="ListLabel 10"/>
    <w:rPr>
      <w:rFonts w:ascii="Calibri" w:eastAsia="Calibri" w:hAnsi="Calibri" w:cs="Symbol"/>
      <w:sz w:val="20"/>
    </w:rPr>
  </w:style>
  <w:style w:type="character" w:customStyle="1" w:styleId="ListLabel11">
    <w:name w:val="ListLabel 11"/>
    <w:rPr>
      <w:rFonts w:cs="Courier New"/>
      <w:sz w:val="20"/>
    </w:rPr>
  </w:style>
  <w:style w:type="character" w:customStyle="1" w:styleId="ListLabel12">
    <w:name w:val="ListLabel 12"/>
    <w:rPr>
      <w:rFonts w:ascii="Calibri" w:eastAsia="Calibri" w:hAnsi="Calibri" w:cs="Wingdings"/>
      <w:sz w:val="20"/>
    </w:rPr>
  </w:style>
  <w:style w:type="character" w:customStyle="1" w:styleId="ListLabel13">
    <w:name w:val="ListLabel 13"/>
    <w:rPr>
      <w:rFonts w:ascii="Calibri" w:eastAsia="Calibri" w:hAnsi="Calibri" w:cs="Wingdings"/>
      <w:sz w:val="20"/>
    </w:rPr>
  </w:style>
  <w:style w:type="character" w:customStyle="1" w:styleId="ListLabel14">
    <w:name w:val="ListLabel 14"/>
    <w:rPr>
      <w:rFonts w:ascii="Calibri" w:eastAsia="Calibri" w:hAnsi="Calibri" w:cs="Wingdings"/>
      <w:sz w:val="20"/>
    </w:rPr>
  </w:style>
  <w:style w:type="character" w:customStyle="1" w:styleId="ListLabel15">
    <w:name w:val="ListLabel 15"/>
    <w:rPr>
      <w:rFonts w:ascii="Calibri" w:eastAsia="Calibri" w:hAnsi="Calibri" w:cs="Wingdings"/>
      <w:sz w:val="20"/>
    </w:rPr>
  </w:style>
  <w:style w:type="character" w:customStyle="1" w:styleId="ListLabel16">
    <w:name w:val="ListLabel 16"/>
    <w:rPr>
      <w:rFonts w:ascii="Calibri" w:eastAsia="Calibri" w:hAnsi="Calibri" w:cs="Wingdings"/>
      <w:sz w:val="20"/>
    </w:rPr>
  </w:style>
  <w:style w:type="character" w:customStyle="1" w:styleId="ListLabel17">
    <w:name w:val="ListLabel 17"/>
    <w:rPr>
      <w:rFonts w:ascii="Calibri" w:eastAsia="Calibri" w:hAnsi="Calibri" w:cs="Wingdings"/>
      <w:sz w:val="20"/>
    </w:rPr>
  </w:style>
  <w:style w:type="character" w:customStyle="1" w:styleId="ListLabel18">
    <w:name w:val="ListLabel 18"/>
    <w:rPr>
      <w:rFonts w:ascii="Calibri" w:eastAsia="Calibri" w:hAnsi="Calibri" w:cs="Wingdings"/>
      <w:sz w:val="20"/>
    </w:rPr>
  </w:style>
  <w:style w:type="character" w:customStyle="1" w:styleId="ListLabel19">
    <w:name w:val="ListLabel 19"/>
    <w:rPr>
      <w:rFonts w:ascii="Calibri" w:eastAsia="Calibri" w:hAnsi="Calibri" w:cs="Symbol"/>
      <w:sz w:val="20"/>
    </w:rPr>
  </w:style>
  <w:style w:type="character" w:customStyle="1" w:styleId="ListLabel20">
    <w:name w:val="ListLabel 20"/>
    <w:rPr>
      <w:rFonts w:cs="Courier New"/>
      <w:sz w:val="20"/>
    </w:rPr>
  </w:style>
  <w:style w:type="character" w:customStyle="1" w:styleId="ListLabel21">
    <w:name w:val="ListLabel 21"/>
    <w:rPr>
      <w:rFonts w:ascii="Calibri" w:eastAsia="Calibri" w:hAnsi="Calibri" w:cs="Wingdings"/>
      <w:sz w:val="20"/>
    </w:rPr>
  </w:style>
  <w:style w:type="character" w:customStyle="1" w:styleId="ListLabel22">
    <w:name w:val="ListLabel 22"/>
    <w:rPr>
      <w:rFonts w:ascii="Calibri" w:eastAsia="Calibri" w:hAnsi="Calibri" w:cs="Wingdings"/>
      <w:sz w:val="20"/>
    </w:rPr>
  </w:style>
  <w:style w:type="character" w:customStyle="1" w:styleId="ListLabel23">
    <w:name w:val="ListLabel 23"/>
    <w:rPr>
      <w:rFonts w:ascii="Calibri" w:eastAsia="Calibri" w:hAnsi="Calibri" w:cs="Wingdings"/>
      <w:sz w:val="20"/>
    </w:rPr>
  </w:style>
  <w:style w:type="character" w:customStyle="1" w:styleId="ListLabel24">
    <w:name w:val="ListLabel 24"/>
    <w:rPr>
      <w:rFonts w:ascii="Calibri" w:eastAsia="Calibri" w:hAnsi="Calibri" w:cs="Wingdings"/>
      <w:sz w:val="20"/>
    </w:rPr>
  </w:style>
  <w:style w:type="character" w:customStyle="1" w:styleId="ListLabel25">
    <w:name w:val="ListLabel 25"/>
    <w:rPr>
      <w:rFonts w:ascii="Calibri" w:eastAsia="Calibri" w:hAnsi="Calibri" w:cs="Wingdings"/>
      <w:sz w:val="20"/>
    </w:rPr>
  </w:style>
  <w:style w:type="character" w:customStyle="1" w:styleId="ListLabel26">
    <w:name w:val="ListLabel 26"/>
    <w:rPr>
      <w:rFonts w:ascii="Calibri" w:eastAsia="Calibri" w:hAnsi="Calibri" w:cs="Wingdings"/>
      <w:sz w:val="20"/>
    </w:rPr>
  </w:style>
  <w:style w:type="character" w:customStyle="1" w:styleId="ListLabel27">
    <w:name w:val="ListLabel 27"/>
    <w:rPr>
      <w:rFonts w:ascii="Calibri" w:eastAsia="Calibri" w:hAnsi="Calibri" w:cs="Wingdings"/>
      <w:sz w:val="20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KeineListe1">
    <w:name w:val="Keine Liste_1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BTU Cottbus - Senftenberg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tost</dc:creator>
  <cp:lastModifiedBy>herzig</cp:lastModifiedBy>
  <cp:revision>4</cp:revision>
  <dcterms:created xsi:type="dcterms:W3CDTF">2026-07-09T09:05:00Z</dcterms:created>
  <dcterms:modified xsi:type="dcterms:W3CDTF">2026-07-09T11:55:00Z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