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F13D3F" w:rsidRPr="00DF0395">
        <w:trPr>
          <w:trHeight w:val="284"/>
        </w:trPr>
        <w:tc>
          <w:tcPr>
            <w:tcW w:w="5541" w:type="dxa"/>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8A07C3" w:rsidP="0087342F">
            <w:pPr>
              <w:rPr>
                <w:rFonts w:cs="Arial"/>
                <w:szCs w:val="20"/>
              </w:rPr>
            </w:pPr>
            <w:r>
              <w:fldChar w:fldCharType="begin">
                <w:ffData>
                  <w:name w:val="Text3"/>
                  <w:enabled/>
                  <w:calcOnExit w:val="0"/>
                  <w:textInput>
                    <w:default w:val="${/*/n1:TenderFile/n1:referenceNumber}"/>
                  </w:textInput>
                </w:ffData>
              </w:fldChar>
            </w:r>
            <w:bookmarkStart w:id="0" w:name="Text3"/>
            <w:r>
              <w:t>62-N015/2026</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Baumaßnahme</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7"/>
                  <w:enabled/>
                  <w:calcOnExit w:val="0"/>
                  <w:textInput>
                    <w:default w:val="${/*/n1:TenderFile/n1:name}"/>
                  </w:textInput>
                </w:ffData>
              </w:fldChar>
            </w:r>
            <w:bookmarkStart w:id="1" w:name="Text7"/>
            <w:r>
              <w:t>Kultur|Kloster|Kyritz Los N015 Akustikarbeiten (Fugenloses Akustikdeckensystem)</w:t>
            </w:r>
            <w:bookmarkEnd w:id="1"/>
          </w:p>
        </w:tc>
      </w:tr>
      <w:tr w:rsidR="00F13D3F" w:rsidRPr="00DF0395" w:rsidTr="00FD4D20">
        <w:trPr>
          <w:trHeight w:val="237"/>
        </w:trPr>
        <w:tc>
          <w:tcPr>
            <w:tcW w:w="5541" w:type="dxa"/>
            <w:tcBorders>
              <w:top w:val="single" w:sz="4" w:space="0" w:color="808080"/>
            </w:tcBorders>
            <w:tcMar>
              <w:top w:w="28" w:type="dxa"/>
              <w:bottom w:w="28" w:type="dxa"/>
              <w:right w:w="28" w:type="dxa"/>
            </w:tcMar>
          </w:tcPr>
          <w:p w:rsidR="00F13D3F" w:rsidRPr="00DF0395" w:rsidRDefault="00C6592D" w:rsidP="0087342F">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bookmarkStart w:id="2" w:name="_GoBack"/>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8"/>
                  <w:enabled/>
                  <w:calcOnExit w:val="0"/>
                  <w:textInput>
                    <w:default w:val="${/*/n1:AssignmentItem/n1:shortQualitativeDescription}"/>
                  </w:textInput>
                </w:ffData>
              </w:fldChar>
            </w:r>
            <w:bookmarkStart w:id="3" w:name="Text8"/>
            <w:r>
              <w:t xml:space="preserve">Bei der geplanten Baumaßnahme handelt es sich um den Umbau des Klausurflügel des ehemaligen Klosters (Bestandsgebäude) zum Museum. Zeitgleich wird daneben ein Neubau (Veranstaltungsgebäude mit Verbindern) errichtet. Das Baugrundstück liegt in Kyritz im Denkmalbereich "Altstadt Kyritz" und dem Bodendenkmal "Altstadt Kyritz".
Im Zuge der Ausbauarbeiten werden Akustikmaßnahmen an sämtlichen Deckenflächen des Veranstaltungsgebäudes sowie der Verbinderbauten erforderlich. Im Veranstaltungsgebäude erfolgt die Montage der Akustikelemente direkt auf den fertiggestellten Betondecken mittels Verklebung. Die Anordnung und Ausführung der Elemente sind entsprechend den akustischen Anforderungen sowie dem abgestimmten Deckenlayout herzustellen. In den Verbinderbauten werden die Akustikelemente unterhalb der Holzrahmenkonstruktionen angeordnet. Die Befestigung erfolgt über eine geeignete Unterkonstruktion, die auf die konstruktiven Gegebenheiten der Holzbauteile abgestimmt ist. Im Dachgeschoss des Veranstaltungsgebäudes werden die Akustikelemente innerhalb der Sparrenfelder eingebaut. Die Ausführung erfolgt so, dass die vorhandenen Sparren sichtbar bleiben und als gestalterisches Element in Erscheinung treten. Besondere Aufmerksamkeit ist auf die Koordination und Anarbeitung der Akustikflächen an die Beleuchtungssysteme zu legen. Sämtliche Aussparungen, Anschlüsse und Anpassungen für Leuchten, Lichtschienen sowie weitere technische Einbauten sind fachgerecht herzustellen und in die Ausführungsplanung zu integrieren. </w:t>
            </w:r>
            <w:bookmarkEnd w:id="3"/>
            <w:bookmarkEnd w:id="2"/>
          </w:p>
        </w:tc>
      </w:tr>
    </w:tbl>
    <w:p w:rsidR="00F13D3F" w:rsidRDefault="00F13D3F" w:rsidP="00F13D3F">
      <w:pPr>
        <w:pStyle w:val="VHB-Kopfzeilentext"/>
      </w:pPr>
    </w:p>
    <w:p w:rsidR="00F13D3F" w:rsidRPr="002D47F2" w:rsidRDefault="00F13D3F" w:rsidP="00F13D3F">
      <w:pPr>
        <w:pStyle w:val="Oben"/>
      </w:pPr>
      <w:r w:rsidRPr="002D47F2">
        <w:t>Ergänzung der Aufforderung zur Abgabe eines Angebots</w:t>
      </w:r>
    </w:p>
    <w:p w:rsidR="00F13D3F" w:rsidRDefault="00F13D3F" w:rsidP="00F13D3F"/>
    <w:p w:rsidR="00F13D3F" w:rsidRDefault="00F13D3F" w:rsidP="009B583A">
      <w:pPr>
        <w:pStyle w:val="Oben"/>
        <w:rPr>
          <w:szCs w:val="19"/>
        </w:rPr>
      </w:pPr>
      <w:r w:rsidRPr="0053278C">
        <w:t>Bearbeitungsphasen, Datenaustausch, allgemeine Regelungen</w:t>
      </w:r>
    </w:p>
    <w:p w:rsidR="00F13D3F" w:rsidRPr="00F13D3F" w:rsidRDefault="00F13D3F" w:rsidP="009B583A">
      <w:pPr>
        <w:pStyle w:val="berschrift1"/>
        <w:rPr>
          <w:szCs w:val="19"/>
        </w:rPr>
      </w:pPr>
      <w:r w:rsidRPr="00F13D3F">
        <w:t>Bearbeitungsphasen</w:t>
      </w:r>
    </w:p>
    <w:p w:rsidR="00F13D3F" w:rsidRDefault="00F13D3F" w:rsidP="00F13D3F">
      <w:pPr>
        <w:pStyle w:val="Text"/>
        <w:rPr>
          <w:szCs w:val="19"/>
        </w:rPr>
      </w:pPr>
      <w:r>
        <w:t>Datenaustausch ist von der ausschreibenden Stelle / dem Auftraggeber vorgesehen für folgende Bearbeitungsphasen:</w:t>
      </w:r>
    </w:p>
    <w:p w:rsidR="00F13D3F" w:rsidRDefault="00F13D3F" w:rsidP="00F13D3F">
      <w:pPr>
        <w:pStyle w:val="Anstrich"/>
        <w:rPr>
          <w:szCs w:val="19"/>
        </w:rPr>
      </w:pPr>
      <w:r>
        <w:t>-</w:t>
      </w:r>
      <w:r>
        <w:tab/>
      </w:r>
      <w:r w:rsidRPr="0053278C">
        <w:t xml:space="preserve">Angebotsanforderung </w:t>
      </w:r>
    </w:p>
    <w:p w:rsidR="00F13D3F" w:rsidRDefault="00F13D3F" w:rsidP="00F13D3F">
      <w:pPr>
        <w:pStyle w:val="Anstrich"/>
        <w:rPr>
          <w:szCs w:val="19"/>
        </w:rPr>
      </w:pPr>
      <w:r>
        <w:t>-</w:t>
      </w:r>
      <w:r>
        <w:tab/>
      </w:r>
      <w:r w:rsidRPr="0053278C">
        <w:t xml:space="preserve">Angebotsabgabe </w:t>
      </w:r>
    </w:p>
    <w:p w:rsidR="00F13D3F" w:rsidRDefault="00F13D3F" w:rsidP="00F13D3F">
      <w:pPr>
        <w:pStyle w:val="Anstrich"/>
        <w:rPr>
          <w:szCs w:val="19"/>
        </w:rPr>
      </w:pPr>
      <w:r>
        <w:t>-</w:t>
      </w:r>
      <w:r>
        <w:tab/>
      </w:r>
      <w:r w:rsidRPr="0053278C">
        <w:t>Abrechnung</w:t>
      </w:r>
      <w:r>
        <w:t>.</w:t>
      </w:r>
    </w:p>
    <w:p w:rsidR="00F13D3F" w:rsidRPr="00F13D3F" w:rsidRDefault="00F13D3F" w:rsidP="009B583A">
      <w:pPr>
        <w:pStyle w:val="berschrift1"/>
      </w:pPr>
      <w:r w:rsidRPr="00F13D3F">
        <w:t>Datenaustausch</w:t>
      </w:r>
    </w:p>
    <w:p w:rsidR="00F13D3F" w:rsidRPr="0053278C" w:rsidRDefault="00F13D3F" w:rsidP="00F13D3F">
      <w:pPr>
        <w:pStyle w:val="Text"/>
      </w:pPr>
      <w:r>
        <w:t>Werden Angebotsdaten elektronisch ausgetauscht, erfolgt dies nach den Regelungen des Gemein</w:t>
      </w:r>
      <w:r>
        <w:softHyphen/>
        <w:t>samen Ausschusses Elektronik im Bauwesen</w:t>
      </w:r>
      <w:r w:rsidR="004C432D">
        <w:t xml:space="preserve"> </w:t>
      </w:r>
      <w:r w:rsidR="002B73AE">
        <w:t>–</w:t>
      </w:r>
      <w:r>
        <w:t xml:space="preserve"> GAEB</w:t>
      </w:r>
      <w:r w:rsidR="002B73AE">
        <w:t>, Schnittstelle</w:t>
      </w:r>
      <w:r>
        <w:t xml:space="preserve"> DA XML.</w:t>
      </w:r>
      <w:r w:rsidRPr="0053278C">
        <w:t xml:space="preserve"> Der Datenaustausch für die Abrech</w:t>
      </w:r>
      <w:r>
        <w:softHyphen/>
      </w:r>
      <w:r w:rsidRPr="0053278C">
        <w:t xml:space="preserve">nung ist nach den Verfahrensbeschreibungen der Regelungen für Elektronische Bauabrechnung durchzuführen. Der Datenaustausch nach anderen Regelungen (z.B. </w:t>
      </w:r>
      <w:proofErr w:type="spellStart"/>
      <w:r w:rsidRPr="0053278C">
        <w:t>Edifact</w:t>
      </w:r>
      <w:proofErr w:type="spellEnd"/>
      <w:r w:rsidRPr="0053278C">
        <w:t>) ist im Einzelfall zu vereinbaren.</w:t>
      </w:r>
    </w:p>
    <w:p w:rsidR="00F13D3F" w:rsidRDefault="00F13D3F" w:rsidP="00F13D3F">
      <w:pPr>
        <w:pStyle w:val="Text"/>
        <w:rPr>
          <w:szCs w:val="19"/>
        </w:rPr>
      </w:pPr>
      <w:r w:rsidRPr="0053278C">
        <w:t xml:space="preserve">Die Datenträger sind </w:t>
      </w:r>
      <w:r>
        <w:t xml:space="preserve">so </w:t>
      </w:r>
      <w:r w:rsidRPr="0053278C">
        <w:t>zu kennzeichnen</w:t>
      </w:r>
      <w:r>
        <w:t>, dass eine eindeutige Zuordnung zum Vergabeverfahren bzw. zum Vertrag gewährleistet ist</w:t>
      </w:r>
      <w:r w:rsidRPr="0053278C">
        <w:t>.</w:t>
      </w:r>
    </w:p>
    <w:p w:rsidR="00F13D3F" w:rsidRPr="00F13D3F" w:rsidRDefault="00F13D3F" w:rsidP="009B583A">
      <w:pPr>
        <w:pStyle w:val="berschrift1"/>
      </w:pPr>
      <w:r w:rsidRPr="00F13D3F">
        <w:t>Abweichungen zwischen Datenaustauschdateien und schriftlicher Fassung</w:t>
      </w:r>
    </w:p>
    <w:p w:rsidR="00F13D3F" w:rsidRDefault="00F13D3F" w:rsidP="00F13D3F">
      <w:pPr>
        <w:pStyle w:val="Text"/>
        <w:rPr>
          <w:szCs w:val="19"/>
        </w:rPr>
      </w:pPr>
      <w:r w:rsidRPr="0053278C">
        <w:t xml:space="preserve">Die </w:t>
      </w:r>
      <w:r>
        <w:t>Datenaustauschdateien</w:t>
      </w:r>
      <w:r w:rsidRPr="0053278C">
        <w:t xml:space="preserve"> gelten als Arbeitsmittel</w:t>
      </w:r>
      <w:r>
        <w:t xml:space="preserve">, es sei denn, sie werden im Rahmen eines </w:t>
      </w:r>
      <w:r w:rsidR="00C71603">
        <w:t>elektronischen</w:t>
      </w:r>
      <w:r>
        <w:t xml:space="preserve"> Vergabeverfahrens </w:t>
      </w:r>
      <w:r w:rsidR="00A97060">
        <w:t>über eine Vergabeplattform</w:t>
      </w:r>
      <w:r>
        <w:t xml:space="preserve"> ausgetauscht</w:t>
      </w:r>
      <w:r w:rsidRPr="0053278C">
        <w:t>. Bei Abwei</w:t>
      </w:r>
      <w:r>
        <w:softHyphen/>
      </w:r>
      <w:r w:rsidRPr="0053278C">
        <w:t xml:space="preserve">chungen zwischen </w:t>
      </w:r>
      <w:r>
        <w:t>den Datenaustauschdateien</w:t>
      </w:r>
      <w:r w:rsidRPr="0053278C">
        <w:t xml:space="preserve"> und der schriftlichen Fassung der Ver</w:t>
      </w:r>
      <w:r>
        <w:t>gabe</w:t>
      </w:r>
      <w:r w:rsidRPr="0053278C">
        <w:t>- oder Abrechnungsunterlagen gilt die schriftliche Fassung. Inhaltliche Unterschiede gegenüber de</w:t>
      </w:r>
      <w:r w:rsidR="00C71603">
        <w:t>m</w:t>
      </w:r>
      <w:r w:rsidRPr="0053278C">
        <w:t xml:space="preserve"> D</w:t>
      </w:r>
      <w:r w:rsidR="00206958">
        <w:t>a</w:t>
      </w:r>
      <w:r w:rsidRPr="0053278C">
        <w:t>tenträger sind vom Unternehmer in der schriftlichen Fassung zu kennzeichnen.</w:t>
      </w:r>
    </w:p>
    <w:p w:rsidR="00F13D3F" w:rsidRDefault="00F13D3F" w:rsidP="00F13D3F">
      <w:pPr>
        <w:pStyle w:val="Text"/>
        <w:rPr>
          <w:szCs w:val="19"/>
        </w:rPr>
      </w:pPr>
    </w:p>
    <w:sectPr w:rsidR="00F13D3F"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C83" w:rsidRDefault="00626C83">
      <w:r>
        <w:separator/>
      </w:r>
    </w:p>
    <w:p w:rsidR="00626C83" w:rsidRDefault="00626C83"/>
    <w:p w:rsidR="00626C83" w:rsidRDefault="00626C83"/>
  </w:endnote>
  <w:endnote w:type="continuationSeparator" w:id="0">
    <w:p w:rsidR="00626C83" w:rsidRDefault="00626C83">
      <w:r>
        <w:continuationSeparator/>
      </w:r>
    </w:p>
    <w:p w:rsidR="00626C83" w:rsidRDefault="00626C83"/>
    <w:p w:rsidR="00626C83" w:rsidRDefault="00626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F8534B" w:rsidRPr="00D6072E" w:rsidTr="00C6592D">
      <w:trPr>
        <w:cantSplit/>
        <w:trHeight w:hRule="exact" w:val="397"/>
      </w:trPr>
      <w:tc>
        <w:tcPr>
          <w:tcW w:w="147" w:type="dxa"/>
          <w:vAlign w:val="center"/>
        </w:tcPr>
        <w:p w:rsidR="00F8534B" w:rsidRPr="00D6072E" w:rsidRDefault="00F8534B" w:rsidP="00D6072E">
          <w:pPr>
            <w:jc w:val="center"/>
            <w:rPr>
              <w:b/>
              <w:sz w:val="16"/>
              <w:szCs w:val="16"/>
            </w:rPr>
          </w:pPr>
          <w:r w:rsidRPr="00D6072E">
            <w:rPr>
              <w:rFonts w:cs="Arial"/>
              <w:b/>
              <w:sz w:val="16"/>
              <w:szCs w:val="16"/>
            </w:rPr>
            <w:t>©</w:t>
          </w:r>
        </w:p>
      </w:tc>
      <w:tc>
        <w:tcPr>
          <w:tcW w:w="621" w:type="dxa"/>
          <w:vAlign w:val="center"/>
        </w:tcPr>
        <w:p w:rsidR="00F8534B" w:rsidRPr="00D6072E" w:rsidRDefault="00CB56C3" w:rsidP="00D6072E">
          <w:pPr>
            <w:jc w:val="center"/>
            <w:rPr>
              <w:b/>
              <w:sz w:val="16"/>
              <w:szCs w:val="16"/>
            </w:rPr>
          </w:pPr>
          <w:r>
            <w:rPr>
              <w:rFonts w:cs="Arial"/>
              <w:b/>
              <w:noProof/>
              <w:sz w:val="16"/>
              <w:szCs w:val="16"/>
            </w:rPr>
            <w:drawing>
              <wp:inline distT="0" distB="0" distL="0" distR="0" wp14:anchorId="0BCC88BE" wp14:editId="40A69AB8">
                <wp:extent cx="364490" cy="254000"/>
                <wp:effectExtent l="0" t="0" r="0" b="0"/>
                <wp:docPr id="2"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4000"/>
                        </a:xfrm>
                        <a:prstGeom prst="rect">
                          <a:avLst/>
                        </a:prstGeom>
                        <a:noFill/>
                        <a:ln>
                          <a:noFill/>
                        </a:ln>
                      </pic:spPr>
                    </pic:pic>
                  </a:graphicData>
                </a:graphic>
              </wp:inline>
            </w:drawing>
          </w:r>
        </w:p>
      </w:tc>
      <w:tc>
        <w:tcPr>
          <w:tcW w:w="7512" w:type="dxa"/>
          <w:vAlign w:val="center"/>
        </w:tcPr>
        <w:p w:rsidR="00F8534B" w:rsidRPr="00D6072E" w:rsidRDefault="00F8534B" w:rsidP="00707021">
          <w:pPr>
            <w:tabs>
              <w:tab w:val="left" w:pos="84"/>
            </w:tabs>
            <w:rPr>
              <w:rFonts w:cs="Arial"/>
              <w:b/>
              <w:sz w:val="16"/>
              <w:szCs w:val="16"/>
            </w:rPr>
          </w:pPr>
          <w:r w:rsidRPr="00D6072E">
            <w:rPr>
              <w:rFonts w:cs="Arial"/>
              <w:b/>
              <w:sz w:val="16"/>
              <w:szCs w:val="16"/>
            </w:rPr>
            <w:tab/>
            <w:t xml:space="preserve">VHB - Bund - Ausgabe </w:t>
          </w:r>
          <w:r w:rsidR="00206958">
            <w:rPr>
              <w:rFonts w:cs="Arial"/>
              <w:b/>
              <w:sz w:val="16"/>
              <w:szCs w:val="16"/>
            </w:rPr>
            <w:t>201</w:t>
          </w:r>
          <w:r w:rsidR="00707021">
            <w:rPr>
              <w:rFonts w:cs="Arial"/>
              <w:b/>
              <w:sz w:val="16"/>
              <w:szCs w:val="16"/>
            </w:rPr>
            <w:t>7</w:t>
          </w:r>
        </w:p>
      </w:tc>
      <w:tc>
        <w:tcPr>
          <w:tcW w:w="1440" w:type="dxa"/>
          <w:vAlign w:val="center"/>
        </w:tcPr>
        <w:p w:rsidR="00F8534B" w:rsidRPr="00D6072E" w:rsidRDefault="00F8534B"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p>
      </w:tc>
    </w:tr>
  </w:tbl>
  <w:p w:rsidR="00F8534B" w:rsidRPr="00046C8E" w:rsidRDefault="00F85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C83" w:rsidRDefault="00626C83">
      <w:r>
        <w:separator/>
      </w:r>
    </w:p>
    <w:p w:rsidR="00626C83" w:rsidRDefault="00626C83"/>
    <w:p w:rsidR="00626C83" w:rsidRDefault="00626C83"/>
  </w:footnote>
  <w:footnote w:type="continuationSeparator" w:id="0">
    <w:p w:rsidR="00626C83" w:rsidRDefault="00626C83">
      <w:r>
        <w:continuationSeparator/>
      </w:r>
    </w:p>
    <w:p w:rsidR="00626C83" w:rsidRDefault="00626C83"/>
    <w:p w:rsidR="00626C83" w:rsidRDefault="00626C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p w:rsidR="00F8534B" w:rsidRDefault="00F853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rsidP="00046C8E">
    <w:pPr>
      <w:pStyle w:val="Kopfzeile"/>
    </w:pPr>
    <w:r>
      <w:t>244</w:t>
    </w:r>
  </w:p>
  <w:p w:rsidR="00F8534B" w:rsidRPr="00AB4B05" w:rsidRDefault="00F8534B" w:rsidP="00AB4B05">
    <w:pPr>
      <w:pStyle w:val="UnterKopfzeile"/>
    </w:pPr>
    <w:r>
      <w:t>(Datenverarbeitung)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6DA6D5C2"/>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650CF3"/>
    <w:multiLevelType w:val="multilevel"/>
    <w:tmpl w:val="0FEC3EE6"/>
    <w:lvl w:ilvl="0">
      <w:start w:val="1"/>
      <w:numFmt w:val="decimal"/>
      <w:pStyle w:val="VHB-berschrift1"/>
      <w:lvlText w:val="%1"/>
      <w:lvlJc w:val="left"/>
      <w:pPr>
        <w:tabs>
          <w:tab w:val="num" w:pos="567"/>
        </w:tabs>
        <w:ind w:left="567" w:hanging="567"/>
      </w:pPr>
      <w:rPr>
        <w:rFonts w:hint="default"/>
        <w:sz w:val="20"/>
        <w:szCs w:val="20"/>
      </w:rPr>
    </w:lvl>
    <w:lvl w:ilvl="1">
      <w:start w:val="1"/>
      <w:numFmt w:val="decimal"/>
      <w:pStyle w:val="VHB-Standard2"/>
      <w:lvlText w:val="%1.%2"/>
      <w:lvlJc w:val="left"/>
      <w:pPr>
        <w:tabs>
          <w:tab w:val="num" w:pos="567"/>
        </w:tabs>
        <w:ind w:left="567" w:hanging="567"/>
      </w:pPr>
      <w:rPr>
        <w:rFonts w:hint="default"/>
      </w:rPr>
    </w:lvl>
    <w:lvl w:ilvl="2">
      <w:start w:val="1"/>
      <w:numFmt w:val="decimal"/>
      <w:pStyle w:val="VHBStandard2"/>
      <w:lvlText w:val="%1.%2.%3"/>
      <w:lvlJc w:val="left"/>
      <w:pPr>
        <w:tabs>
          <w:tab w:val="num" w:pos="851"/>
        </w:tabs>
        <w:ind w:left="851" w:hanging="851"/>
      </w:pPr>
      <w:rPr>
        <w:rFonts w:hint="default"/>
        <w:b w:val="0"/>
        <w:szCs w:val="20"/>
      </w:rPr>
    </w:lvl>
    <w:lvl w:ilvl="3">
      <w:start w:val="1"/>
      <w:numFmt w:val="decimal"/>
      <w:lvlText w:val="%1.%2.%3.%4"/>
      <w:lvlJc w:val="left"/>
      <w:pPr>
        <w:tabs>
          <w:tab w:val="num" w:pos="851"/>
        </w:tabs>
        <w:ind w:left="851" w:hanging="851"/>
      </w:pPr>
      <w:rPr>
        <w:rFonts w:hint="default"/>
        <w:b w:val="0"/>
        <w:szCs w:val="20"/>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440"/>
        </w:tabs>
        <w:ind w:left="1296" w:hanging="936"/>
      </w:pPr>
      <w:rPr>
        <w:rFonts w:hint="default"/>
      </w:rPr>
    </w:lvl>
    <w:lvl w:ilvl="6">
      <w:start w:val="1"/>
      <w:numFmt w:val="decimal"/>
      <w:lvlText w:val="%1.%2.%3.%4.%5.%6.%7."/>
      <w:lvlJc w:val="left"/>
      <w:pPr>
        <w:tabs>
          <w:tab w:val="num" w:pos="216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8"/>
  </w:num>
  <w:num w:numId="4">
    <w:abstractNumId w:val="18"/>
  </w:num>
  <w:num w:numId="5">
    <w:abstractNumId w:val="10"/>
  </w:num>
  <w:num w:numId="6">
    <w:abstractNumId w:val="3"/>
  </w:num>
  <w:num w:numId="7">
    <w:abstractNumId w:val="14"/>
  </w:num>
  <w:num w:numId="8">
    <w:abstractNumId w:val="9"/>
  </w:num>
  <w:num w:numId="9">
    <w:abstractNumId w:val="17"/>
  </w:num>
  <w:num w:numId="10">
    <w:abstractNumId w:val="4"/>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6"/>
  </w:num>
  <w:num w:numId="22">
    <w:abstractNumId w:val="0"/>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214"/>
    <w:rsid w:val="000021DC"/>
    <w:rsid w:val="0000737B"/>
    <w:rsid w:val="0001134B"/>
    <w:rsid w:val="000114D3"/>
    <w:rsid w:val="00046C8E"/>
    <w:rsid w:val="0006675C"/>
    <w:rsid w:val="0007651F"/>
    <w:rsid w:val="00081305"/>
    <w:rsid w:val="000848E7"/>
    <w:rsid w:val="000A42AA"/>
    <w:rsid w:val="001028D9"/>
    <w:rsid w:val="00106076"/>
    <w:rsid w:val="00127C79"/>
    <w:rsid w:val="001426F7"/>
    <w:rsid w:val="0017495A"/>
    <w:rsid w:val="001A6205"/>
    <w:rsid w:val="001B705C"/>
    <w:rsid w:val="001C3E5C"/>
    <w:rsid w:val="001C509D"/>
    <w:rsid w:val="001E0C92"/>
    <w:rsid w:val="001F47CC"/>
    <w:rsid w:val="00206958"/>
    <w:rsid w:val="002517FD"/>
    <w:rsid w:val="00263542"/>
    <w:rsid w:val="002748DF"/>
    <w:rsid w:val="002B26AB"/>
    <w:rsid w:val="002B73AE"/>
    <w:rsid w:val="002C0F7B"/>
    <w:rsid w:val="002C403D"/>
    <w:rsid w:val="002E4302"/>
    <w:rsid w:val="002F4952"/>
    <w:rsid w:val="0030109A"/>
    <w:rsid w:val="00327698"/>
    <w:rsid w:val="003552CC"/>
    <w:rsid w:val="00355C7F"/>
    <w:rsid w:val="003A36E9"/>
    <w:rsid w:val="003A7389"/>
    <w:rsid w:val="003D3E99"/>
    <w:rsid w:val="003E2CD4"/>
    <w:rsid w:val="00402A1B"/>
    <w:rsid w:val="00424038"/>
    <w:rsid w:val="0045228F"/>
    <w:rsid w:val="00454471"/>
    <w:rsid w:val="0045726B"/>
    <w:rsid w:val="0047055A"/>
    <w:rsid w:val="00480ABD"/>
    <w:rsid w:val="004818FE"/>
    <w:rsid w:val="00492429"/>
    <w:rsid w:val="004C432D"/>
    <w:rsid w:val="004C43D4"/>
    <w:rsid w:val="004C5609"/>
    <w:rsid w:val="004E07A5"/>
    <w:rsid w:val="004E3711"/>
    <w:rsid w:val="00500C2B"/>
    <w:rsid w:val="00520D3B"/>
    <w:rsid w:val="005333C9"/>
    <w:rsid w:val="005575B0"/>
    <w:rsid w:val="00573601"/>
    <w:rsid w:val="00574488"/>
    <w:rsid w:val="00576C66"/>
    <w:rsid w:val="005A4489"/>
    <w:rsid w:val="005C301C"/>
    <w:rsid w:val="005C41DA"/>
    <w:rsid w:val="005F32A5"/>
    <w:rsid w:val="005F41CD"/>
    <w:rsid w:val="00605DD3"/>
    <w:rsid w:val="00606550"/>
    <w:rsid w:val="00607EE7"/>
    <w:rsid w:val="00614636"/>
    <w:rsid w:val="00626C83"/>
    <w:rsid w:val="00640260"/>
    <w:rsid w:val="00643351"/>
    <w:rsid w:val="0066119D"/>
    <w:rsid w:val="00667DCD"/>
    <w:rsid w:val="006A5AED"/>
    <w:rsid w:val="006A66F3"/>
    <w:rsid w:val="006B7CF1"/>
    <w:rsid w:val="006D70A3"/>
    <w:rsid w:val="006E7214"/>
    <w:rsid w:val="00707021"/>
    <w:rsid w:val="00724CA7"/>
    <w:rsid w:val="00734EDE"/>
    <w:rsid w:val="007633C2"/>
    <w:rsid w:val="0077704B"/>
    <w:rsid w:val="0078194F"/>
    <w:rsid w:val="00782E76"/>
    <w:rsid w:val="0078695C"/>
    <w:rsid w:val="007E61DB"/>
    <w:rsid w:val="0080520B"/>
    <w:rsid w:val="0081723D"/>
    <w:rsid w:val="00844E06"/>
    <w:rsid w:val="0087342F"/>
    <w:rsid w:val="008A07C3"/>
    <w:rsid w:val="008B1F06"/>
    <w:rsid w:val="008D764D"/>
    <w:rsid w:val="008F52AA"/>
    <w:rsid w:val="008F6547"/>
    <w:rsid w:val="00903F45"/>
    <w:rsid w:val="00910F0B"/>
    <w:rsid w:val="00962412"/>
    <w:rsid w:val="0097166A"/>
    <w:rsid w:val="009769C9"/>
    <w:rsid w:val="009A3215"/>
    <w:rsid w:val="009A33B4"/>
    <w:rsid w:val="009B583A"/>
    <w:rsid w:val="009C14BE"/>
    <w:rsid w:val="00A00872"/>
    <w:rsid w:val="00A5084B"/>
    <w:rsid w:val="00A75824"/>
    <w:rsid w:val="00A90C84"/>
    <w:rsid w:val="00A97060"/>
    <w:rsid w:val="00AB4B05"/>
    <w:rsid w:val="00AC56D5"/>
    <w:rsid w:val="00AC7F2D"/>
    <w:rsid w:val="00AD584D"/>
    <w:rsid w:val="00AE4AF0"/>
    <w:rsid w:val="00B003C3"/>
    <w:rsid w:val="00B14EF0"/>
    <w:rsid w:val="00B23C01"/>
    <w:rsid w:val="00B249C3"/>
    <w:rsid w:val="00B40909"/>
    <w:rsid w:val="00B434E5"/>
    <w:rsid w:val="00B61D2B"/>
    <w:rsid w:val="00B96ADB"/>
    <w:rsid w:val="00BA5E42"/>
    <w:rsid w:val="00BD130C"/>
    <w:rsid w:val="00BF2190"/>
    <w:rsid w:val="00C023E2"/>
    <w:rsid w:val="00C101BF"/>
    <w:rsid w:val="00C246AC"/>
    <w:rsid w:val="00C26124"/>
    <w:rsid w:val="00C2678D"/>
    <w:rsid w:val="00C30192"/>
    <w:rsid w:val="00C6592D"/>
    <w:rsid w:val="00C71603"/>
    <w:rsid w:val="00C764C5"/>
    <w:rsid w:val="00C96E57"/>
    <w:rsid w:val="00CB56C3"/>
    <w:rsid w:val="00CD54C7"/>
    <w:rsid w:val="00CF64C4"/>
    <w:rsid w:val="00D05C74"/>
    <w:rsid w:val="00D6072E"/>
    <w:rsid w:val="00D8049B"/>
    <w:rsid w:val="00D83B69"/>
    <w:rsid w:val="00DA276D"/>
    <w:rsid w:val="00DB1F7C"/>
    <w:rsid w:val="00DB6C0D"/>
    <w:rsid w:val="00DC2EA6"/>
    <w:rsid w:val="00DC7E08"/>
    <w:rsid w:val="00DD5025"/>
    <w:rsid w:val="00DE2F64"/>
    <w:rsid w:val="00DE420C"/>
    <w:rsid w:val="00E02FAA"/>
    <w:rsid w:val="00E1197E"/>
    <w:rsid w:val="00E322E9"/>
    <w:rsid w:val="00E3544A"/>
    <w:rsid w:val="00E578EB"/>
    <w:rsid w:val="00E6087B"/>
    <w:rsid w:val="00E65145"/>
    <w:rsid w:val="00E85EBB"/>
    <w:rsid w:val="00EA10EB"/>
    <w:rsid w:val="00EA4B37"/>
    <w:rsid w:val="00EC7AED"/>
    <w:rsid w:val="00ED2D93"/>
    <w:rsid w:val="00F133C2"/>
    <w:rsid w:val="00F13D3F"/>
    <w:rsid w:val="00F21669"/>
    <w:rsid w:val="00F32C49"/>
    <w:rsid w:val="00F85122"/>
    <w:rsid w:val="00F8534B"/>
    <w:rsid w:val="00F9088F"/>
    <w:rsid w:val="00F92CF7"/>
    <w:rsid w:val="00FA0151"/>
    <w:rsid w:val="00FB37F2"/>
    <w:rsid w:val="00FC0982"/>
    <w:rsid w:val="00FC1057"/>
    <w:rsid w:val="00FD03DA"/>
    <w:rsid w:val="00FD49AF"/>
    <w:rsid w:val="00FD4D2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F13D3F"/>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autoRedefine/>
    <w:rsid w:val="00F13D3F"/>
    <w:pPr>
      <w:spacing w:after="120"/>
      <w:contextualSpacing/>
    </w:pPr>
    <w:rPr>
      <w:rFonts w:cs="Arial"/>
      <w:b/>
      <w:szCs w:val="20"/>
    </w:rPr>
  </w:style>
  <w:style w:type="paragraph" w:customStyle="1" w:styleId="Anstrich">
    <w:name w:val="Anstrich"/>
    <w:basedOn w:val="Standard"/>
    <w:next w:val="Standard"/>
    <w:rsid w:val="00F13D3F"/>
    <w:pPr>
      <w:tabs>
        <w:tab w:val="left" w:pos="1021"/>
      </w:tabs>
      <w:spacing w:after="60"/>
      <w:ind w:left="1021" w:hanging="170"/>
      <w:contextualSpacing/>
      <w:jc w:val="both"/>
    </w:pPr>
  </w:style>
  <w:style w:type="paragraph" w:customStyle="1" w:styleId="Text">
    <w:name w:val="Text"/>
    <w:basedOn w:val="Standard"/>
    <w:next w:val="Standard"/>
    <w:link w:val="TextZchn"/>
    <w:rsid w:val="00F13D3F"/>
    <w:pPr>
      <w:spacing w:after="60"/>
      <w:ind w:left="851"/>
      <w:jc w:val="both"/>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F13D3F"/>
    <w:pPr>
      <w:numPr>
        <w:numId w:val="23"/>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1">
    <w:name w:val="VHB-Standard 1"/>
    <w:basedOn w:val="Standard"/>
    <w:autoRedefine/>
    <w:rsid w:val="00F13D3F"/>
    <w:pPr>
      <w:tabs>
        <w:tab w:val="left" w:pos="567"/>
      </w:tabs>
      <w:spacing w:after="60"/>
      <w:ind w:left="567"/>
      <w:jc w:val="both"/>
    </w:pPr>
    <w:rPr>
      <w:rFonts w:cs="Arial"/>
      <w:szCs w:val="20"/>
    </w:rPr>
  </w:style>
  <w:style w:type="paragraph" w:customStyle="1" w:styleId="VHBStandard2">
    <w:name w:val="VHB Standard 2"/>
    <w:basedOn w:val="Standard"/>
    <w:rsid w:val="00F13D3F"/>
    <w:pPr>
      <w:numPr>
        <w:ilvl w:val="2"/>
        <w:numId w:val="23"/>
      </w:numPr>
    </w:pPr>
  </w:style>
  <w:style w:type="paragraph" w:customStyle="1" w:styleId="VHB-Standard2">
    <w:name w:val="VHB-Standard 2"/>
    <w:autoRedefine/>
    <w:rsid w:val="00F13D3F"/>
    <w:pPr>
      <w:numPr>
        <w:ilvl w:val="1"/>
        <w:numId w:val="23"/>
      </w:numPr>
      <w:spacing w:before="120" w:after="60"/>
      <w:ind w:right="-57"/>
      <w:jc w:val="both"/>
    </w:pPr>
    <w:rPr>
      <w:rFonts w:ascii="Arial" w:hAnsi="Arial" w:cs="Arial"/>
    </w:rPr>
  </w:style>
  <w:style w:type="paragraph" w:customStyle="1" w:styleId="VHB-Aufzhlung">
    <w:name w:val="VHB-Aufzählung"/>
    <w:basedOn w:val="Liste"/>
    <w:autoRedefine/>
    <w:rsid w:val="00F13D3F"/>
    <w:pPr>
      <w:numPr>
        <w:numId w:val="24"/>
      </w:numPr>
      <w:spacing w:after="60"/>
      <w:contextualSpacing/>
    </w:pPr>
  </w:style>
  <w:style w:type="paragraph" w:styleId="Liste">
    <w:name w:val="List"/>
    <w:basedOn w:val="Standard"/>
    <w:rsid w:val="00F13D3F"/>
    <w:pPr>
      <w:ind w:left="283" w:hanging="283"/>
    </w:pPr>
  </w:style>
  <w:style w:type="paragraph" w:customStyle="1" w:styleId="Oben">
    <w:name w:val="Oben"/>
    <w:basedOn w:val="Standard"/>
    <w:next w:val="Standard"/>
    <w:rsid w:val="00F13D3F"/>
    <w:pPr>
      <w:keepNext/>
      <w:jc w:val="both"/>
    </w:pPr>
    <w:rPr>
      <w:b/>
      <w:szCs w:val="20"/>
    </w:rPr>
  </w:style>
  <w:style w:type="character" w:customStyle="1" w:styleId="TextZchn">
    <w:name w:val="Text Zchn"/>
    <w:link w:val="Text"/>
    <w:rsid w:val="00F13D3F"/>
    <w:rPr>
      <w:rFonts w:ascii="Arial" w:hAnsi="Arial"/>
      <w:szCs w:val="24"/>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213</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244 - Datenverarbeitung</vt:lpstr>
    </vt:vector>
  </TitlesOfParts>
  <Company>BBR</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2017-10-18T06:51:00Z</dcterms:created>
  <dc:creator>Dorothea Fenner</dc:creator>
  <cp:keywords>Datenverarbeitung; GAEB</cp:keywords>
  <cp:lastModifiedBy>Matthäus Czerner</cp:lastModifiedBy>
  <cp:lastPrinted>2010-03-03T16:09:00Z</cp:lastPrinted>
  <dcterms:modified xsi:type="dcterms:W3CDTF">2018-06-21T07:21:00Z</dcterms:modified>
  <cp:revision>5</cp:revision>
  <dc:subject>Datenverarbeitung</dc:subject>
  <dc:title>244 - Datenverarbeitung</dc:title>
</cp:coreProperties>
</file>