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755422" w:rsidRPr="00817582" w14:paraId="40D7DF00" w14:textId="77777777" w:rsidTr="00F03C2A">
        <w:trPr>
          <w:trHeight w:val="284"/>
        </w:trPr>
        <w:tc>
          <w:tcPr>
            <w:tcW w:w="7116" w:type="dxa"/>
            <w:tcBorders>
              <w:top w:val="single" w:sz="4" w:space="0" w:color="808080"/>
              <w:right w:val="single" w:sz="4" w:space="0" w:color="808080"/>
            </w:tcBorders>
            <w:tcMar>
              <w:top w:w="28" w:type="dxa"/>
              <w:bottom w:w="28" w:type="dxa"/>
              <w:right w:w="28" w:type="dxa"/>
            </w:tcMar>
          </w:tcPr>
          <w:p w14:paraId="66A5E49F" w14:textId="77777777" w:rsidR="00755422" w:rsidRPr="00817582" w:rsidRDefault="00755422" w:rsidP="00F03C2A">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05408F2B" w14:textId="77777777" w:rsidR="00755422" w:rsidRDefault="00755422" w:rsidP="00F03C2A">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14:paraId="18C10B36" w14:textId="5A5AC276" w:rsidR="00755422" w:rsidRPr="004D40DD" w:rsidRDefault="00755422" w:rsidP="00F03C2A">
            <w:pPr>
              <w:spacing w:before="0" w:after="0" w:line="240" w:lineRule="auto"/>
              <w:ind w:firstLine="0"/>
              <w:jc w:val="left"/>
              <w:rPr>
                <w:rFonts w:eastAsia="Times New Roman" w:cs="Arial"/>
                <w:color w:val="FF0000"/>
                <w:szCs w:val="20"/>
                <w:lang w:eastAsia="de-DE"/>
              </w:rPr>
            </w:pPr>
            <w:bookmarkStart w:id="0" w:name="BA"/>
            <w:bookmarkEnd w:id="0"/>
            <w:r>
              <w:rPr>
                <w:rFonts w:eastAsia="Times New Roman" w:cs="Arial"/>
                <w:szCs w:val="20"/>
                <w:lang w:eastAsia="de-DE"/>
              </w:rPr>
              <w:t>12</w:t>
            </w:r>
            <w:r w:rsidR="00A579B1">
              <w:rPr>
                <w:rFonts w:eastAsia="Times New Roman" w:cs="Arial"/>
                <w:szCs w:val="20"/>
                <w:lang w:eastAsia="de-DE"/>
              </w:rPr>
              <w:t>6</w:t>
            </w:r>
            <w:r w:rsidR="00EA36D4">
              <w:rPr>
                <w:rFonts w:eastAsia="Times New Roman" w:cs="Arial"/>
                <w:szCs w:val="20"/>
                <w:lang w:eastAsia="de-DE"/>
              </w:rPr>
              <w:t>43</w:t>
            </w:r>
          </w:p>
        </w:tc>
      </w:tr>
      <w:tr w:rsidR="00755422" w:rsidRPr="00817582" w14:paraId="7A3A56A3" w14:textId="77777777" w:rsidTr="00F03C2A">
        <w:trPr>
          <w:trHeight w:val="284"/>
        </w:trPr>
        <w:tc>
          <w:tcPr>
            <w:tcW w:w="7116" w:type="dxa"/>
            <w:tcBorders>
              <w:bottom w:val="single" w:sz="4" w:space="0" w:color="808080"/>
              <w:right w:val="single" w:sz="4" w:space="0" w:color="808080"/>
            </w:tcBorders>
            <w:tcMar>
              <w:top w:w="28" w:type="dxa"/>
              <w:bottom w:w="28" w:type="dxa"/>
              <w:right w:w="28" w:type="dxa"/>
            </w:tcMar>
          </w:tcPr>
          <w:p w14:paraId="3492C84F" w14:textId="77777777" w:rsidR="00755422" w:rsidRPr="00817582" w:rsidRDefault="00755422" w:rsidP="00F03C2A">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7E1B5936" w14:textId="77777777" w:rsidR="00755422" w:rsidRPr="00817582" w:rsidRDefault="00755422" w:rsidP="00F03C2A">
            <w:pPr>
              <w:spacing w:before="0" w:after="0" w:line="240" w:lineRule="auto"/>
              <w:ind w:firstLine="0"/>
              <w:jc w:val="left"/>
              <w:rPr>
                <w:rFonts w:eastAsia="Times New Roman" w:cs="Arial"/>
                <w:szCs w:val="20"/>
                <w:lang w:eastAsia="de-DE"/>
              </w:rPr>
            </w:pPr>
          </w:p>
        </w:tc>
      </w:tr>
    </w:tbl>
    <w:p w14:paraId="34FBB3B9" w14:textId="2B48EE84" w:rsidR="00085700" w:rsidRPr="005F5752" w:rsidRDefault="00085700" w:rsidP="00085700">
      <w:pPr>
        <w:ind w:firstLine="0"/>
        <w:rPr>
          <w:b/>
        </w:rPr>
      </w:pPr>
      <w:r w:rsidRPr="005F5752">
        <w:rPr>
          <w:b/>
        </w:rPr>
        <w:t>Vergabeverfahren</w:t>
      </w:r>
    </w:p>
    <w:tbl>
      <w:tblPr>
        <w:tblStyle w:val="Tabellenraster25"/>
        <w:tblW w:w="9384"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384"/>
      </w:tblGrid>
      <w:tr w:rsidR="00085700" w:rsidRPr="00545046" w14:paraId="018E128F" w14:textId="77777777" w:rsidTr="00BB6D69">
        <w:trPr>
          <w:trHeight w:val="340"/>
        </w:trPr>
        <w:tc>
          <w:tcPr>
            <w:tcW w:w="9384" w:type="dxa"/>
            <w:tcBorders>
              <w:bottom w:val="single" w:sz="4" w:space="0" w:color="auto"/>
            </w:tcBorders>
            <w:vAlign w:val="bottom"/>
          </w:tcPr>
          <w:p w14:paraId="258F326C" w14:textId="386FFA9B" w:rsidR="00085700" w:rsidRPr="00433FDA" w:rsidRDefault="00EA36D4" w:rsidP="00433FDA">
            <w:pPr>
              <w:ind w:firstLine="0"/>
              <w:rPr>
                <w:rFonts w:ascii="Open Sans" w:hAnsi="Open Sans" w:cs="Open Sans"/>
                <w:lang w:val="en-US"/>
              </w:rPr>
            </w:pPr>
            <w:r>
              <w:rPr>
                <w:rFonts w:ascii="Open Sans" w:hAnsi="Open Sans" w:cs="Open Sans"/>
                <w:lang w:val="en-US"/>
              </w:rPr>
              <w:t>SUSE eLearning Subscription</w:t>
            </w:r>
          </w:p>
        </w:tc>
      </w:tr>
    </w:tbl>
    <w:p w14:paraId="20DB1D4B" w14:textId="77777777" w:rsidR="00085700" w:rsidRPr="00433FDA" w:rsidRDefault="00085700" w:rsidP="00085700">
      <w:pPr>
        <w:ind w:firstLine="0"/>
        <w:rPr>
          <w:lang w:val="en-US"/>
        </w:rPr>
      </w:pPr>
    </w:p>
    <w:p w14:paraId="38EA9E13" w14:textId="77777777" w:rsidR="00CF5004" w:rsidRPr="002A54F1" w:rsidRDefault="00CF5004" w:rsidP="00CF5004">
      <w:pPr>
        <w:pStyle w:val="Titel"/>
        <w:jc w:val="center"/>
        <w:rPr>
          <w:sz w:val="20"/>
          <w:szCs w:val="20"/>
        </w:rPr>
      </w:pPr>
      <w:r w:rsidRPr="002A54F1">
        <w:rPr>
          <w:szCs w:val="24"/>
        </w:rPr>
        <w:t>Eigenerklärung</w:t>
      </w:r>
    </w:p>
    <w:p w14:paraId="1BBF13CC" w14:textId="77777777"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14:paraId="0C674B3C"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71BDF344"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2A79EE"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3B946D9D"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483DE4D2"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09801C6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12CDE27A"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14:paraId="7F7613FF" w14:textId="77777777" w:rsidR="00CF5004" w:rsidRPr="002C4E24"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r w:rsidR="002C4E24">
        <w:rPr>
          <w:color w:val="auto"/>
          <w:sz w:val="20"/>
          <w:szCs w:val="20"/>
        </w:rPr>
        <w:t xml:space="preserve"> oder § 108f des Strafgesetzbuchs (unzulässige Interessenwahrnehmung)</w:t>
      </w:r>
      <w:r w:rsidRPr="002C4E24">
        <w:rPr>
          <w:color w:val="auto"/>
          <w:sz w:val="20"/>
          <w:szCs w:val="20"/>
        </w:rPr>
        <w:t>,</w:t>
      </w:r>
    </w:p>
    <w:p w14:paraId="6FEA07E2"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003D58D3" w14:textId="77777777"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4C854389"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14:paraId="2F7CB10B"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w:t>
      </w:r>
      <w:r>
        <w:rPr>
          <w:color w:val="auto"/>
          <w:sz w:val="20"/>
          <w:szCs w:val="20"/>
        </w:rPr>
        <w:lastRenderedPageBreak/>
        <w:t>Unternehmen seinen Verpflichtungen dadurch nachgekommen ist, dass ich/wir mich/uns zur Zahlung der Steuern, Abgaben und Beiträge zur Sozialversicherung einschließlich Zinsen Säumnis- und Strafzuschläge verpflichtet habe(n).</w:t>
      </w:r>
    </w:p>
    <w:p w14:paraId="7BD0CB91" w14:textId="77777777"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141E7D2E"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70B4F8CB"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69B96E97" w14:textId="77777777"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09D497F6" w14:textId="77777777"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14:paraId="3BD66A92" w14:textId="77777777" w:rsidR="00CF5004" w:rsidRDefault="00CF5004" w:rsidP="00CF5004">
      <w:pPr>
        <w:ind w:firstLine="0"/>
        <w:rPr>
          <w:b/>
        </w:rPr>
      </w:pPr>
    </w:p>
    <w:p w14:paraId="2BC33157" w14:textId="77777777"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14:paraId="7A48A953" w14:textId="77777777"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14:paraId="65FD3FDA" w14:textId="77777777" w:rsidTr="002D00E8">
        <w:tc>
          <w:tcPr>
            <w:tcW w:w="9209" w:type="dxa"/>
          </w:tcPr>
          <w:p w14:paraId="5094C35F" w14:textId="77777777" w:rsidR="00CF5004" w:rsidRDefault="00CF5004" w:rsidP="002D00E8">
            <w:pPr>
              <w:jc w:val="center"/>
              <w:rPr>
                <w:rFonts w:cs="Arial"/>
              </w:rPr>
            </w:pPr>
          </w:p>
          <w:p w14:paraId="7617F4D7" w14:textId="77777777" w:rsidR="00CF5004" w:rsidRPr="00B0146D" w:rsidRDefault="00CF5004" w:rsidP="002D00E8">
            <w:pPr>
              <w:jc w:val="center"/>
              <w:rPr>
                <w:rFonts w:cs="Arial"/>
              </w:rPr>
            </w:pPr>
          </w:p>
          <w:p w14:paraId="1018DA70" w14:textId="77777777" w:rsidR="00CF5004" w:rsidRPr="00B0146D" w:rsidRDefault="00CF5004" w:rsidP="002D00E8">
            <w:pPr>
              <w:jc w:val="left"/>
              <w:rPr>
                <w:rFonts w:cs="Arial"/>
              </w:rPr>
            </w:pPr>
            <w:r>
              <w:rPr>
                <w:rFonts w:cs="Arial"/>
              </w:rPr>
              <w:t>_______________________________________</w:t>
            </w:r>
          </w:p>
          <w:p w14:paraId="2480B7C2" w14:textId="77777777" w:rsidR="00CF5004" w:rsidRPr="00B0146D" w:rsidRDefault="00CF5004" w:rsidP="002D00E8">
            <w:pPr>
              <w:spacing w:before="0"/>
              <w:rPr>
                <w:rFonts w:cs="Arial"/>
              </w:rPr>
            </w:pPr>
            <w:r>
              <w:rPr>
                <w:rFonts w:cs="Arial"/>
              </w:rPr>
              <w:t>(Ort, Datum, Unterschrift, Firmenname)</w:t>
            </w:r>
          </w:p>
          <w:p w14:paraId="7916425F" w14:textId="77777777" w:rsidR="00CF5004" w:rsidRPr="00B0146D" w:rsidRDefault="00CF5004" w:rsidP="002D00E8">
            <w:pPr>
              <w:jc w:val="center"/>
              <w:rPr>
                <w:rFonts w:cs="Arial"/>
              </w:rPr>
            </w:pPr>
          </w:p>
        </w:tc>
      </w:tr>
    </w:tbl>
    <w:p w14:paraId="3F878C73" w14:textId="77777777" w:rsidR="00CF5004" w:rsidRDefault="00CF5004" w:rsidP="00CF5004">
      <w:pPr>
        <w:pStyle w:val="RevisionJuristischerAbsatz"/>
        <w:numPr>
          <w:ilvl w:val="0"/>
          <w:numId w:val="0"/>
        </w:numPr>
        <w:rPr>
          <w:color w:val="auto"/>
          <w:sz w:val="20"/>
          <w:szCs w:val="20"/>
        </w:rPr>
      </w:pPr>
    </w:p>
    <w:p w14:paraId="4E23F417" w14:textId="77777777"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14:paraId="4B648E52" w14:textId="1596B456" w:rsidR="001018D6" w:rsidRPr="00593385" w:rsidRDefault="00CF5004" w:rsidP="00CA1EF0">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sectPr w:rsidR="001018D6" w:rsidRPr="00593385"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A81F" w14:textId="77777777" w:rsidR="00592178" w:rsidRDefault="00592178" w:rsidP="00B3223D">
      <w:pPr>
        <w:spacing w:after="0" w:line="240" w:lineRule="auto"/>
      </w:pPr>
      <w:r>
        <w:separator/>
      </w:r>
    </w:p>
  </w:endnote>
  <w:endnote w:type="continuationSeparator" w:id="0">
    <w:p w14:paraId="7D28D7D7"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14889"/>
      <w:docPartObj>
        <w:docPartGallery w:val="Page Numbers (Bottom of Page)"/>
        <w:docPartUnique/>
      </w:docPartObj>
    </w:sdtPr>
    <w:sdtEndPr/>
    <w:sdtContent>
      <w:p w14:paraId="48C684C6" w14:textId="77777777" w:rsidR="00AA300D" w:rsidRDefault="006E0BAF" w:rsidP="006E0BAF">
        <w:pPr>
          <w:pStyle w:val="Fuzeile"/>
          <w:jc w:val="center"/>
        </w:pPr>
        <w:r>
          <w:fldChar w:fldCharType="begin"/>
        </w:r>
        <w:r>
          <w:instrText>PAGE   \* MERGEFORMAT</w:instrText>
        </w:r>
        <w:r>
          <w:fldChar w:fldCharType="separate"/>
        </w:r>
        <w:r w:rsidR="002D699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E5DF" w14:textId="77777777" w:rsidR="00592178" w:rsidRDefault="00592178" w:rsidP="00B3223D">
      <w:pPr>
        <w:spacing w:after="0" w:line="240" w:lineRule="auto"/>
      </w:pPr>
      <w:r>
        <w:separator/>
      </w:r>
    </w:p>
  </w:footnote>
  <w:footnote w:type="continuationSeparator" w:id="0">
    <w:p w14:paraId="4E68C5C6" w14:textId="77777777" w:rsidR="00592178" w:rsidRDefault="00592178" w:rsidP="00B3223D">
      <w:pPr>
        <w:spacing w:after="0" w:line="240" w:lineRule="auto"/>
      </w:pPr>
      <w:r>
        <w:continuationSeparator/>
      </w:r>
    </w:p>
  </w:footnote>
  <w:footnote w:id="1">
    <w:p w14:paraId="3692CDF8" w14:textId="77777777"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38F461F6" w14:textId="77777777"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125EDD0E" w14:textId="77777777"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14:paraId="5C532EE3"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7E3A9B45"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296399FB" w14:textId="77777777"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6D170C05" w14:textId="77777777"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w:t>
      </w:r>
      <w:proofErr w:type="gramStart"/>
      <w:r w:rsidRPr="003117A6">
        <w:rPr>
          <w:color w:val="auto"/>
          <w:sz w:val="16"/>
          <w:szCs w:val="16"/>
        </w:rPr>
        <w:t>Fußnote</w:t>
      </w:r>
      <w:proofErr w:type="gramEnd"/>
      <w:r w:rsidRPr="003117A6">
        <w:rPr>
          <w:color w:val="auto"/>
          <w:sz w:val="16"/>
          <w:szCs w:val="16"/>
        </w:rPr>
        <w:t xml:space="preserv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8D1F" w14:textId="77777777"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14:paraId="6C939ACD" w14:textId="77777777"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2C4E24">
      <w:rPr>
        <w:rFonts w:eastAsia="Times New Roman" w:cs="Arial"/>
        <w:szCs w:val="20"/>
        <w:lang w:eastAsia="de-DE"/>
      </w:rPr>
      <w:t>7</w:t>
    </w:r>
    <w:r w:rsidR="00592178">
      <w:rPr>
        <w:rFonts w:eastAsia="Times New Roman" w:cs="Arial"/>
        <w:szCs w:val="20"/>
        <w:lang w:eastAsia="de-DE"/>
      </w:rPr>
      <w:t>/20</w:t>
    </w:r>
    <w:r w:rsidR="00195744">
      <w:rPr>
        <w:rFonts w:eastAsia="Times New Roman" w:cs="Arial"/>
        <w:szCs w:val="20"/>
        <w:lang w:eastAsia="de-DE"/>
      </w:rPr>
      <w:t>2</w:t>
    </w:r>
    <w:r w:rsidR="002C4E24">
      <w:rPr>
        <w:rFonts w:eastAsia="Times New Roman" w:cs="Arial"/>
        <w:szCs w:val="20"/>
        <w:lang w:eastAsia="de-DE"/>
      </w:rPr>
      <w:t>4</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14:paraId="75A6A1AE"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814682117">
    <w:abstractNumId w:val="1"/>
  </w:num>
  <w:num w:numId="2" w16cid:durableId="1720131749">
    <w:abstractNumId w:val="6"/>
  </w:num>
  <w:num w:numId="3" w16cid:durableId="1381781262">
    <w:abstractNumId w:val="0"/>
  </w:num>
  <w:num w:numId="4" w16cid:durableId="1488741637">
    <w:abstractNumId w:val="6"/>
    <w:lvlOverride w:ilvl="0">
      <w:startOverride w:val="1"/>
    </w:lvlOverride>
  </w:num>
  <w:num w:numId="5" w16cid:durableId="1883515862">
    <w:abstractNumId w:val="6"/>
    <w:lvlOverride w:ilvl="0">
      <w:startOverride w:val="1"/>
    </w:lvlOverride>
  </w:num>
  <w:num w:numId="6" w16cid:durableId="1948076412">
    <w:abstractNumId w:val="18"/>
  </w:num>
  <w:num w:numId="7" w16cid:durableId="1924534813">
    <w:abstractNumId w:val="4"/>
  </w:num>
  <w:num w:numId="8" w16cid:durableId="1775899375">
    <w:abstractNumId w:val="5"/>
  </w:num>
  <w:num w:numId="9" w16cid:durableId="1723867203">
    <w:abstractNumId w:val="15"/>
  </w:num>
  <w:num w:numId="10" w16cid:durableId="153573336">
    <w:abstractNumId w:val="7"/>
  </w:num>
  <w:num w:numId="11" w16cid:durableId="125778283">
    <w:abstractNumId w:val="16"/>
  </w:num>
  <w:num w:numId="12" w16cid:durableId="121312174">
    <w:abstractNumId w:val="9"/>
  </w:num>
  <w:num w:numId="13" w16cid:durableId="494877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2115268">
    <w:abstractNumId w:val="12"/>
  </w:num>
  <w:num w:numId="15" w16cid:durableId="1207571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7261324">
    <w:abstractNumId w:val="3"/>
  </w:num>
  <w:num w:numId="17" w16cid:durableId="658769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4034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4374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268543">
    <w:abstractNumId w:val="8"/>
  </w:num>
  <w:num w:numId="21" w16cid:durableId="211624576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3763199">
    <w:abstractNumId w:val="14"/>
  </w:num>
  <w:num w:numId="23" w16cid:durableId="311180381">
    <w:abstractNumId w:val="11"/>
  </w:num>
  <w:num w:numId="24" w16cid:durableId="1317027907">
    <w:abstractNumId w:val="2"/>
  </w:num>
  <w:num w:numId="25" w16cid:durableId="1070270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07007"/>
    <w:rsid w:val="000128AE"/>
    <w:rsid w:val="0001749A"/>
    <w:rsid w:val="00034C04"/>
    <w:rsid w:val="00074A48"/>
    <w:rsid w:val="00076066"/>
    <w:rsid w:val="0007702A"/>
    <w:rsid w:val="000808D5"/>
    <w:rsid w:val="00084CDC"/>
    <w:rsid w:val="00085700"/>
    <w:rsid w:val="000A02B1"/>
    <w:rsid w:val="000A31AB"/>
    <w:rsid w:val="000A72DF"/>
    <w:rsid w:val="001018D6"/>
    <w:rsid w:val="00124CE3"/>
    <w:rsid w:val="00134C4B"/>
    <w:rsid w:val="00142A43"/>
    <w:rsid w:val="00147204"/>
    <w:rsid w:val="001556E0"/>
    <w:rsid w:val="0016700F"/>
    <w:rsid w:val="00175A5D"/>
    <w:rsid w:val="00190B62"/>
    <w:rsid w:val="00195744"/>
    <w:rsid w:val="001B3C00"/>
    <w:rsid w:val="001B502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C4E24"/>
    <w:rsid w:val="002D6993"/>
    <w:rsid w:val="002E3C5F"/>
    <w:rsid w:val="002E471C"/>
    <w:rsid w:val="002E6E01"/>
    <w:rsid w:val="002F0482"/>
    <w:rsid w:val="0030665D"/>
    <w:rsid w:val="003333F2"/>
    <w:rsid w:val="00343D2E"/>
    <w:rsid w:val="00345AF4"/>
    <w:rsid w:val="00346025"/>
    <w:rsid w:val="00351D4F"/>
    <w:rsid w:val="00361E01"/>
    <w:rsid w:val="003730C6"/>
    <w:rsid w:val="00374710"/>
    <w:rsid w:val="003918A6"/>
    <w:rsid w:val="00392B14"/>
    <w:rsid w:val="003A4E6C"/>
    <w:rsid w:val="003C73D7"/>
    <w:rsid w:val="003D2DBB"/>
    <w:rsid w:val="003E5456"/>
    <w:rsid w:val="00403D49"/>
    <w:rsid w:val="004178E1"/>
    <w:rsid w:val="00433FDA"/>
    <w:rsid w:val="00485628"/>
    <w:rsid w:val="00493D6A"/>
    <w:rsid w:val="00493DC5"/>
    <w:rsid w:val="004A1503"/>
    <w:rsid w:val="004A319A"/>
    <w:rsid w:val="004A7C57"/>
    <w:rsid w:val="004B5561"/>
    <w:rsid w:val="004D160C"/>
    <w:rsid w:val="004E6696"/>
    <w:rsid w:val="00500637"/>
    <w:rsid w:val="00514BAA"/>
    <w:rsid w:val="005177EE"/>
    <w:rsid w:val="00521467"/>
    <w:rsid w:val="00523688"/>
    <w:rsid w:val="00545046"/>
    <w:rsid w:val="00545786"/>
    <w:rsid w:val="00545F2C"/>
    <w:rsid w:val="00547B27"/>
    <w:rsid w:val="0055106E"/>
    <w:rsid w:val="00553078"/>
    <w:rsid w:val="005737E6"/>
    <w:rsid w:val="0058620D"/>
    <w:rsid w:val="005906C4"/>
    <w:rsid w:val="00592178"/>
    <w:rsid w:val="00593385"/>
    <w:rsid w:val="0059380F"/>
    <w:rsid w:val="005C113E"/>
    <w:rsid w:val="005C6D49"/>
    <w:rsid w:val="005D2C1B"/>
    <w:rsid w:val="005E6B2F"/>
    <w:rsid w:val="005F090E"/>
    <w:rsid w:val="006235B7"/>
    <w:rsid w:val="00625952"/>
    <w:rsid w:val="006508C8"/>
    <w:rsid w:val="0066703F"/>
    <w:rsid w:val="00690CFA"/>
    <w:rsid w:val="006A504A"/>
    <w:rsid w:val="006A716E"/>
    <w:rsid w:val="006C1727"/>
    <w:rsid w:val="006C3FCB"/>
    <w:rsid w:val="006C4AE5"/>
    <w:rsid w:val="006D4A00"/>
    <w:rsid w:val="006E0BAF"/>
    <w:rsid w:val="006F5767"/>
    <w:rsid w:val="00700904"/>
    <w:rsid w:val="0072024A"/>
    <w:rsid w:val="0073595E"/>
    <w:rsid w:val="00742DDD"/>
    <w:rsid w:val="00755422"/>
    <w:rsid w:val="0076579F"/>
    <w:rsid w:val="00767651"/>
    <w:rsid w:val="00782973"/>
    <w:rsid w:val="00796672"/>
    <w:rsid w:val="007F68D0"/>
    <w:rsid w:val="00805504"/>
    <w:rsid w:val="008466F0"/>
    <w:rsid w:val="00850E29"/>
    <w:rsid w:val="00854CBC"/>
    <w:rsid w:val="00860C7E"/>
    <w:rsid w:val="008809BF"/>
    <w:rsid w:val="00891D58"/>
    <w:rsid w:val="00894A7C"/>
    <w:rsid w:val="008A2FC9"/>
    <w:rsid w:val="008A45AB"/>
    <w:rsid w:val="008D12D7"/>
    <w:rsid w:val="008D7A48"/>
    <w:rsid w:val="008E3725"/>
    <w:rsid w:val="00900F3E"/>
    <w:rsid w:val="00916502"/>
    <w:rsid w:val="0092621E"/>
    <w:rsid w:val="00937672"/>
    <w:rsid w:val="00954806"/>
    <w:rsid w:val="00955686"/>
    <w:rsid w:val="009868E4"/>
    <w:rsid w:val="0099082B"/>
    <w:rsid w:val="009B56EC"/>
    <w:rsid w:val="009E0F9C"/>
    <w:rsid w:val="009E16FD"/>
    <w:rsid w:val="00A07CE9"/>
    <w:rsid w:val="00A17E4A"/>
    <w:rsid w:val="00A33E69"/>
    <w:rsid w:val="00A579B1"/>
    <w:rsid w:val="00A836A4"/>
    <w:rsid w:val="00A96B31"/>
    <w:rsid w:val="00AA1BBF"/>
    <w:rsid w:val="00AA300D"/>
    <w:rsid w:val="00AC0471"/>
    <w:rsid w:val="00AC3CCA"/>
    <w:rsid w:val="00AC4068"/>
    <w:rsid w:val="00AD7AA6"/>
    <w:rsid w:val="00AE0D84"/>
    <w:rsid w:val="00B14B65"/>
    <w:rsid w:val="00B2382E"/>
    <w:rsid w:val="00B30E75"/>
    <w:rsid w:val="00B3223D"/>
    <w:rsid w:val="00B538D1"/>
    <w:rsid w:val="00B61FC9"/>
    <w:rsid w:val="00B7667B"/>
    <w:rsid w:val="00B91A1F"/>
    <w:rsid w:val="00B92DB2"/>
    <w:rsid w:val="00BB5585"/>
    <w:rsid w:val="00BB6D69"/>
    <w:rsid w:val="00C24068"/>
    <w:rsid w:val="00C34921"/>
    <w:rsid w:val="00C360F7"/>
    <w:rsid w:val="00C53C30"/>
    <w:rsid w:val="00C53CAA"/>
    <w:rsid w:val="00C80C56"/>
    <w:rsid w:val="00C91EAF"/>
    <w:rsid w:val="00CA1EF0"/>
    <w:rsid w:val="00CF5004"/>
    <w:rsid w:val="00D05791"/>
    <w:rsid w:val="00D153FC"/>
    <w:rsid w:val="00D214DB"/>
    <w:rsid w:val="00D32707"/>
    <w:rsid w:val="00D4632A"/>
    <w:rsid w:val="00D56E64"/>
    <w:rsid w:val="00D614A9"/>
    <w:rsid w:val="00D72908"/>
    <w:rsid w:val="00D731A6"/>
    <w:rsid w:val="00D92622"/>
    <w:rsid w:val="00D93537"/>
    <w:rsid w:val="00D946FE"/>
    <w:rsid w:val="00D95398"/>
    <w:rsid w:val="00DB4BD5"/>
    <w:rsid w:val="00DD471A"/>
    <w:rsid w:val="00DD79C1"/>
    <w:rsid w:val="00DE557E"/>
    <w:rsid w:val="00DE7AAA"/>
    <w:rsid w:val="00E30F69"/>
    <w:rsid w:val="00E354C7"/>
    <w:rsid w:val="00E704F4"/>
    <w:rsid w:val="00E72A6F"/>
    <w:rsid w:val="00E857FD"/>
    <w:rsid w:val="00E90673"/>
    <w:rsid w:val="00EA36D4"/>
    <w:rsid w:val="00EB6F70"/>
    <w:rsid w:val="00F079FF"/>
    <w:rsid w:val="00F156AF"/>
    <w:rsid w:val="00F2731C"/>
    <w:rsid w:val="00F40C11"/>
    <w:rsid w:val="00F55195"/>
    <w:rsid w:val="00F6643F"/>
    <w:rsid w:val="00F7163A"/>
    <w:rsid w:val="00F81B53"/>
    <w:rsid w:val="00FA3187"/>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9FC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 w:type="table" w:customStyle="1" w:styleId="Tabellenraster25">
    <w:name w:val="Tabellenraster25"/>
    <w:basedOn w:val="NormaleTabelle"/>
    <w:next w:val="Tabellenraster"/>
    <w:uiPriority w:val="59"/>
    <w:rsid w:val="0008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E6D7-C9E9-4DB1-BF15-8CFC4F51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4424</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2022-03-08T13:41:00Z</dcterms:created>
  <dcterms:modified xsi:type="dcterms:W3CDTF">2026-04-21T08:19:00Z</dcterms:modified>
</cp:coreProperties>
</file>