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EndPr/>
        <w:sdtContent>
          <w:bookmarkStart w:id="0" w:name="_GoBack"/>
          <w:r w:rsidR="00F66475" w:rsidRPr="00BE04E1">
            <w:rPr>
              <w:rStyle w:val="Platzhaltertext"/>
            </w:rPr>
            <w:t>Klicken oder tippen Sie hier, um Text einzugeben.</w:t>
          </w:r>
          <w:bookmarkEnd w:id="0"/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90003F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90003F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90003F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90003F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90003F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76F28" w14:textId="77777777" w:rsidR="000971BD" w:rsidRDefault="000971BD" w:rsidP="00AF1F97">
      <w:pPr>
        <w:spacing w:before="0" w:after="0" w:line="240" w:lineRule="auto"/>
      </w:pPr>
      <w:r>
        <w:separator/>
      </w:r>
    </w:p>
  </w:endnote>
  <w:endnote w:type="continuationSeparator" w:id="0">
    <w:p w14:paraId="12A39B99" w14:textId="77777777" w:rsidR="000971BD" w:rsidRDefault="000971BD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CFCC" w14:textId="77777777" w:rsidR="000971BD" w:rsidRDefault="000971BD" w:rsidP="00AF1F97">
      <w:pPr>
        <w:spacing w:before="0" w:after="0" w:line="240" w:lineRule="auto"/>
      </w:pPr>
      <w:r>
        <w:separator/>
      </w:r>
    </w:p>
  </w:footnote>
  <w:footnote w:type="continuationSeparator" w:id="0">
    <w:p w14:paraId="6671216E" w14:textId="77777777" w:rsidR="000971BD" w:rsidRDefault="000971BD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971BD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2F23A6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6F7D1D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0003F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81088"/>
    <w:rsid w:val="00A90F49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C2C"/>
    <w:rsid w:val="00E75FB8"/>
    <w:rsid w:val="00E86DA8"/>
    <w:rsid w:val="00EC06A4"/>
    <w:rsid w:val="00EC104B"/>
    <w:rsid w:val="00ED077C"/>
    <w:rsid w:val="00F050F6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B45B8"/>
    <w:rsid w:val="00415AF3"/>
    <w:rsid w:val="005E5581"/>
    <w:rsid w:val="006A353E"/>
    <w:rsid w:val="006C0F21"/>
    <w:rsid w:val="007A2184"/>
    <w:rsid w:val="00922BE0"/>
    <w:rsid w:val="00F7688C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1DB1-F783-4FC2-8457-C92877E9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Marion Krause</cp:lastModifiedBy>
  <cp:revision>2</cp:revision>
  <dcterms:created xsi:type="dcterms:W3CDTF">2025-06-26T08:42:00Z</dcterms:created>
  <dcterms:modified xsi:type="dcterms:W3CDTF">2025-06-26T08:42:00Z</dcterms:modified>
</cp:coreProperties>
</file>