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BER-B-30023965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24.03.2026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BImA, Bundespolizei Blumberg, Neubau Geb. 3N Polizeitrainingsbereich, Anprallwände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Anprallwände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