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87" w:type="dxa"/>
        <w:jc w:val="right"/>
        <w:tblLook w:val="04A0" w:firstRow="1" w:lastRow="0" w:firstColumn="1" w:lastColumn="0" w:noHBand="0" w:noVBand="1"/>
      </w:tblPr>
      <w:tblGrid>
        <w:gridCol w:w="5224"/>
        <w:gridCol w:w="4263"/>
      </w:tblGrid>
      <w:tr w:rsidR="00B378DE" w:rsidRPr="00A47CCD" w14:paraId="35A41DC4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4C55CDFB" w14:textId="77777777" w:rsidR="00B378DE" w:rsidRPr="00A47CCD" w:rsidRDefault="00B378DE" w:rsidP="00B378DE">
            <w:pPr>
              <w:spacing w:line="240" w:lineRule="exact"/>
              <w:ind w:left="484" w:firstLine="0"/>
              <w:jc w:val="left"/>
              <w:rPr>
                <w:rFonts w:cs="Arial"/>
                <w:sz w:val="16"/>
                <w:szCs w:val="16"/>
              </w:rPr>
            </w:pPr>
            <w:r w:rsidRPr="00A47CCD">
              <w:rPr>
                <w:sz w:val="16"/>
                <w:szCs w:val="16"/>
              </w:rPr>
              <w:t xml:space="preserve">Name bzw. Firmenbezeichnung des </w:t>
            </w:r>
            <w:r w:rsidRPr="00A47CCD">
              <w:rPr>
                <w:b/>
                <w:sz w:val="16"/>
                <w:szCs w:val="16"/>
              </w:rPr>
              <w:t>Bieters</w:t>
            </w:r>
          </w:p>
        </w:tc>
        <w:tc>
          <w:tcPr>
            <w:tcW w:w="4263" w:type="dxa"/>
            <w:tcBorders>
              <w:bottom w:val="nil"/>
            </w:tcBorders>
          </w:tcPr>
          <w:p w14:paraId="12CBF5DF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Ort, Datum</w:t>
            </w:r>
          </w:p>
        </w:tc>
      </w:tr>
      <w:tr w:rsidR="00B378DE" w:rsidRPr="00A47CCD" w14:paraId="1F274C88" w14:textId="77777777" w:rsidTr="00A97BDE">
        <w:trPr>
          <w:trHeight w:hRule="exact" w:val="547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16B30E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E00B89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321C084F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41AFB501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6978D6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Vertretungsberechtigte Person</w:t>
            </w:r>
          </w:p>
        </w:tc>
        <w:tc>
          <w:tcPr>
            <w:tcW w:w="4263" w:type="dxa"/>
            <w:tcBorders>
              <w:bottom w:val="nil"/>
            </w:tcBorders>
          </w:tcPr>
          <w:p w14:paraId="0CBFB8AA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B378DE" w:rsidRPr="00A47CCD" w14:paraId="5C7D0E3C" w14:textId="77777777" w:rsidTr="00A97BDE">
        <w:trPr>
          <w:trHeight w:hRule="exact" w:val="404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B2A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A81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19E7B1D9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7F68D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Vergabeverfahren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A6880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Vergabenummer</w:t>
            </w:r>
          </w:p>
        </w:tc>
      </w:tr>
      <w:tr w:rsidR="00B378DE" w:rsidRPr="00A47CCD" w14:paraId="7FD9C2C5" w14:textId="77777777" w:rsidTr="00670016">
        <w:trPr>
          <w:trHeight w:hRule="exact" w:val="1120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FE9" w14:textId="7EAD9827" w:rsidR="00B378DE" w:rsidRPr="00A47CCD" w:rsidRDefault="00225D56" w:rsidP="001271B0">
            <w:pPr>
              <w:numPr>
                <w:ilvl w:val="1"/>
                <w:numId w:val="0"/>
              </w:numPr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sz w:val="18"/>
                <w:szCs w:val="18"/>
              </w:rPr>
              <w:t xml:space="preserve">Datenfusion (FCD) - </w:t>
            </w:r>
            <w:r w:rsidR="001271B0" w:rsidRPr="00D42B59">
              <w:rPr>
                <w:sz w:val="18"/>
                <w:szCs w:val="18"/>
              </w:rPr>
              <w:t xml:space="preserve">Umsetzung des technischen und fachlichen </w:t>
            </w:r>
            <w:r w:rsidR="001271B0">
              <w:rPr>
                <w:sz w:val="18"/>
                <w:szCs w:val="18"/>
              </w:rPr>
              <w:t>T</w:t>
            </w:r>
            <w:r w:rsidR="001271B0" w:rsidRPr="00D42B59">
              <w:rPr>
                <w:sz w:val="18"/>
                <w:szCs w:val="18"/>
              </w:rPr>
              <w:t>estbetrieb der Lieferung netzweiter Verkehrslage- und Reisezeiten für die Landeshauptstadt Potsdam einschließlich</w:t>
            </w:r>
            <w:r w:rsidR="001271B0" w:rsidRPr="003B7BBE">
              <w:t xml:space="preserve"> Evaluation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9E02AF" w14:textId="33086B8F" w:rsidR="00B378DE" w:rsidRPr="00A47CCD" w:rsidRDefault="00AA1AD2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A1AD2">
              <w:rPr>
                <w:rFonts w:eastAsiaTheme="majorEastAsia" w:cstheme="majorBidi"/>
                <w:b/>
                <w:bCs/>
                <w:iCs/>
                <w:color w:val="000000" w:themeColor="text1"/>
                <w:sz w:val="16"/>
                <w:szCs w:val="24"/>
              </w:rPr>
              <w:t>OV-L-475-46-26</w:t>
            </w:r>
          </w:p>
        </w:tc>
      </w:tr>
    </w:tbl>
    <w:p w14:paraId="6011FF8B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D855AA1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6FF291E0" w14:textId="77777777" w:rsidR="00B378DE" w:rsidRP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 xml:space="preserve">Erklärung zu den </w:t>
      </w:r>
      <w:r w:rsidRPr="00B378DE">
        <w:rPr>
          <w:rFonts w:eastAsia="Times New Roman" w:cs="Arial"/>
          <w:b/>
          <w:sz w:val="24"/>
          <w:szCs w:val="24"/>
          <w:lang w:eastAsia="de-DE"/>
        </w:rPr>
        <w:t>restriktive</w:t>
      </w:r>
      <w:r>
        <w:rPr>
          <w:rFonts w:eastAsia="Times New Roman" w:cs="Arial"/>
          <w:b/>
          <w:sz w:val="24"/>
          <w:szCs w:val="24"/>
          <w:lang w:eastAsia="de-DE"/>
        </w:rPr>
        <w:t>n</w:t>
      </w:r>
      <w:r w:rsidRPr="00B378DE">
        <w:rPr>
          <w:rFonts w:eastAsia="Times New Roman" w:cs="Arial"/>
          <w:b/>
          <w:sz w:val="24"/>
          <w:szCs w:val="24"/>
          <w:lang w:eastAsia="de-DE"/>
        </w:rPr>
        <w:t xml:space="preserve"> Maßnahmen angesichts der Handlungen Russlands, die die Lage in der Ukraine destabilisieren</w:t>
      </w:r>
      <w:r>
        <w:rPr>
          <w:rFonts w:eastAsia="Times New Roman" w:cs="Arial"/>
          <w:b/>
          <w:sz w:val="24"/>
          <w:szCs w:val="24"/>
          <w:lang w:eastAsia="de-DE"/>
        </w:rPr>
        <w:t>, gem. Verordnung (EU) 2022/576 des Rates</w:t>
      </w:r>
    </w:p>
    <w:p w14:paraId="47D331D7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C2BDB80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990818A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„(1) Es ist verboten, öffentliche Aufträge oder Konzessionen, die in den Anwendungsbereich der Richtlinien über die öffentliche Auftragsvergabe sowie unter Artikel 10 Absatz 1, Absatz 3, Absatz 6 Buchstaben a bis e, Absatz 8, Absatz 9 und Absatz 10 und die Artikel 11, 12, 13 und 14 der Richtlinie 2014/23/EU, unter die Artikel 7 und 8, Artikel 10 Buchstaben b bis f und h bis j der Richtlinie 2014/24/EU, unter Artikel 18, Artikel 21 Buchstaben b bis e und g bis i, Artikel 29 und Artikel 30 der Richtlinie 2014/25/EU und unter Artikel 13 Buchstaben a bis d, f bis h und j der Richtlinie 2009/81/EG fallen, an folgende Personen,</w:t>
      </w:r>
      <w:r>
        <w:rPr>
          <w:rFonts w:eastAsia="Times New Roman" w:cs="Arial"/>
          <w:szCs w:val="20"/>
          <w:lang w:eastAsia="de-DE"/>
        </w:rPr>
        <w:t xml:space="preserve"> Organisationen oder Einrichtun</w:t>
      </w:r>
      <w:r w:rsidRPr="00B378DE">
        <w:rPr>
          <w:rFonts w:eastAsia="Times New Roman" w:cs="Arial"/>
          <w:szCs w:val="20"/>
          <w:lang w:eastAsia="de-DE"/>
        </w:rPr>
        <w:t xml:space="preserve">gen zu vergeben bzw. Verträge mit solchen Personen, Organisationen oder Einrichtungen </w:t>
      </w:r>
      <w:r>
        <w:rPr>
          <w:rFonts w:eastAsia="Times New Roman" w:cs="Arial"/>
          <w:szCs w:val="20"/>
          <w:lang w:eastAsia="de-DE"/>
        </w:rPr>
        <w:t>wei</w:t>
      </w:r>
      <w:r w:rsidRPr="00B378DE">
        <w:rPr>
          <w:rFonts w:eastAsia="Times New Roman" w:cs="Arial"/>
          <w:szCs w:val="20"/>
          <w:lang w:eastAsia="de-DE"/>
        </w:rPr>
        <w:t>terhin zu erfüllen:</w:t>
      </w:r>
    </w:p>
    <w:p w14:paraId="07C63BEA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russische Staatsangehörige oder in Russland niedergelassene natürliche oder juristische Personen, Organisationen oder Einrichtungen,</w:t>
      </w:r>
    </w:p>
    <w:p w14:paraId="5AF53D00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juristische Personen, Organisationen oder Einrichtungen, d</w:t>
      </w:r>
      <w:r>
        <w:rPr>
          <w:rFonts w:eastAsia="Times New Roman" w:cs="Arial"/>
          <w:szCs w:val="20"/>
          <w:lang w:eastAsia="de-DE"/>
        </w:rPr>
        <w:t>eren Anteile zu über 50 % unmit</w:t>
      </w:r>
      <w:r w:rsidRPr="00B378DE">
        <w:rPr>
          <w:rFonts w:eastAsia="Times New Roman" w:cs="Arial"/>
          <w:szCs w:val="20"/>
          <w:lang w:eastAsia="de-DE"/>
        </w:rPr>
        <w:t>telbar oder mittelbar von einer der unter Buchstabe a genann</w:t>
      </w:r>
      <w:r>
        <w:rPr>
          <w:rFonts w:eastAsia="Times New Roman" w:cs="Arial"/>
          <w:szCs w:val="20"/>
          <w:lang w:eastAsia="de-DE"/>
        </w:rPr>
        <w:t>ten Organisationen gehalten wer</w:t>
      </w:r>
      <w:r w:rsidRPr="00B378DE">
        <w:rPr>
          <w:rFonts w:eastAsia="Times New Roman" w:cs="Arial"/>
          <w:szCs w:val="20"/>
          <w:lang w:eastAsia="de-DE"/>
        </w:rPr>
        <w:t>den, oder</w:t>
      </w:r>
    </w:p>
    <w:p w14:paraId="0D31FD4C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natürliche oder juristische Personen, Organisationen oder Einrichtungen, die im Namen oder auf Anweisung einer der unter Buchstabe a oder b genannten Organisationen handeln,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auch solche, auf die mehr als 10 % des Auftragswerts entfäll</w:t>
      </w:r>
      <w:r>
        <w:rPr>
          <w:rFonts w:eastAsia="Times New Roman" w:cs="Arial"/>
          <w:szCs w:val="20"/>
          <w:lang w:eastAsia="de-DE"/>
        </w:rPr>
        <w:t>t, Unterauftragnehmer, Lieferan</w:t>
      </w:r>
      <w:r w:rsidRPr="00B378DE">
        <w:rPr>
          <w:rFonts w:eastAsia="Times New Roman" w:cs="Arial"/>
          <w:szCs w:val="20"/>
          <w:lang w:eastAsia="de-DE"/>
        </w:rPr>
        <w:t>ten oder Unternehmen, deren Kapazitäten im Sinne der Richt</w:t>
      </w:r>
      <w:r>
        <w:rPr>
          <w:rFonts w:eastAsia="Times New Roman" w:cs="Arial"/>
          <w:szCs w:val="20"/>
          <w:lang w:eastAsia="de-DE"/>
        </w:rPr>
        <w:t>linien über die öffentliche Auf</w:t>
      </w:r>
      <w:r w:rsidRPr="00B378DE">
        <w:rPr>
          <w:rFonts w:eastAsia="Times New Roman" w:cs="Arial"/>
          <w:szCs w:val="20"/>
          <w:lang w:eastAsia="de-DE"/>
        </w:rPr>
        <w:t>tragsvergabe in Anspruch genommen werden.</w:t>
      </w:r>
    </w:p>
    <w:p w14:paraId="51CF0D59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0F3FE6C7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(2) Abweichend von Absatz 1 können die zuständigen Behörd</w:t>
      </w:r>
      <w:r>
        <w:rPr>
          <w:rFonts w:eastAsia="Times New Roman" w:cs="Arial"/>
          <w:szCs w:val="20"/>
          <w:lang w:eastAsia="de-DE"/>
        </w:rPr>
        <w:t>en die Vergabe oder die Fortset</w:t>
      </w:r>
      <w:r w:rsidRPr="00B378DE">
        <w:rPr>
          <w:rFonts w:eastAsia="Times New Roman" w:cs="Arial"/>
          <w:szCs w:val="20"/>
          <w:lang w:eastAsia="de-DE"/>
        </w:rPr>
        <w:t>zung der Erfüllung von Verträgen genehmigen, die bestimmt sind für</w:t>
      </w:r>
    </w:p>
    <w:p w14:paraId="218512CC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</w:p>
    <w:p w14:paraId="092EDFEC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 w:rsidR="001E5A5B"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den Betrieb ziviler nuklearer Kapazitäten, ihre Instandhaltun</w:t>
      </w:r>
      <w:r>
        <w:rPr>
          <w:rFonts w:eastAsia="Times New Roman" w:cs="Arial"/>
          <w:szCs w:val="20"/>
          <w:lang w:eastAsia="de-DE"/>
        </w:rPr>
        <w:t>g, ihre Stilllegung, die Entsor</w:t>
      </w:r>
      <w:r w:rsidRPr="00B378DE">
        <w:rPr>
          <w:rFonts w:eastAsia="Times New Roman" w:cs="Arial"/>
          <w:szCs w:val="20"/>
          <w:lang w:eastAsia="de-DE"/>
        </w:rPr>
        <w:t>gung ihrer radioaktiven Abfälle, ihre Versorgung mit und die Wiederaufbereitung von Brenn-elementen und die Weiterführung der Planung, des Baus und di</w:t>
      </w:r>
      <w:r>
        <w:rPr>
          <w:rFonts w:eastAsia="Times New Roman" w:cs="Arial"/>
          <w:szCs w:val="20"/>
          <w:lang w:eastAsia="de-DE"/>
        </w:rPr>
        <w:t>e Abnahmetests für die Indienst</w:t>
      </w:r>
      <w:r w:rsidRPr="00B378DE">
        <w:rPr>
          <w:rFonts w:eastAsia="Times New Roman" w:cs="Arial"/>
          <w:szCs w:val="20"/>
          <w:lang w:eastAsia="de-DE"/>
        </w:rPr>
        <w:t>stellung ziviler Atomanlagen und ihre Sicherheit sowie die Lieferung von Ausgangsstoffen zur Herstellung medizinischer Radioisotope und ähnlicher medizinischer Anwendungen, kritischer Technologien zur radiologischen Umweltüberwachung sowi</w:t>
      </w:r>
      <w:r>
        <w:rPr>
          <w:rFonts w:eastAsia="Times New Roman" w:cs="Arial"/>
          <w:szCs w:val="20"/>
          <w:lang w:eastAsia="de-DE"/>
        </w:rPr>
        <w:t xml:space="preserve">e für die </w:t>
      </w:r>
      <w:r w:rsidRPr="00AB7AC9">
        <w:rPr>
          <w:rFonts w:eastAsia="Times New Roman" w:cs="Arial"/>
          <w:szCs w:val="20"/>
          <w:lang w:eastAsia="de-DE"/>
        </w:rPr>
        <w:t>zivile nukleare Zusammenarbeit, insbesondere im Bereich Forschung und Entwicklung,</w:t>
      </w:r>
    </w:p>
    <w:p w14:paraId="665122F8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708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die zwischenstaatliche Zusammenarbeit bei Raumfahrtprogrammen,</w:t>
      </w:r>
    </w:p>
    <w:p w14:paraId="51B773D0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die Bereitstellung unbedingt notwendiger Güter oder Dienst</w:t>
      </w:r>
      <w:r>
        <w:rPr>
          <w:rFonts w:eastAsia="Times New Roman" w:cs="Arial"/>
          <w:szCs w:val="20"/>
          <w:lang w:eastAsia="de-DE"/>
        </w:rPr>
        <w:t>leistungen, wenn sie ausschließ</w:t>
      </w:r>
      <w:r w:rsidRPr="00B378DE">
        <w:rPr>
          <w:rFonts w:eastAsia="Times New Roman" w:cs="Arial"/>
          <w:szCs w:val="20"/>
          <w:lang w:eastAsia="de-DE"/>
        </w:rPr>
        <w:t>lich oder nur in ausreichender Menge von den in Absatz 1 genannten Personen bereitgestellt werden können,</w:t>
      </w:r>
    </w:p>
    <w:p w14:paraId="05E2C5BD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d) die Tätigkeit der diplomatischen und konsularischen Ver</w:t>
      </w:r>
      <w:r>
        <w:rPr>
          <w:rFonts w:eastAsia="Times New Roman" w:cs="Arial"/>
          <w:szCs w:val="20"/>
          <w:lang w:eastAsia="de-DE"/>
        </w:rPr>
        <w:t>tretungen der Union und der Mit</w:t>
      </w:r>
      <w:r w:rsidRPr="00B378DE">
        <w:rPr>
          <w:rFonts w:eastAsia="Times New Roman" w:cs="Arial"/>
          <w:szCs w:val="20"/>
          <w:lang w:eastAsia="de-DE"/>
        </w:rPr>
        <w:t>gliedstaaten in Russland, einschließlich Delegationen, Botsch</w:t>
      </w:r>
      <w:r>
        <w:rPr>
          <w:rFonts w:eastAsia="Times New Roman" w:cs="Arial"/>
          <w:szCs w:val="20"/>
          <w:lang w:eastAsia="de-DE"/>
        </w:rPr>
        <w:t>aften und Missionen, oder inter</w:t>
      </w:r>
      <w:r w:rsidRPr="00B378DE">
        <w:rPr>
          <w:rFonts w:eastAsia="Times New Roman" w:cs="Arial"/>
          <w:szCs w:val="20"/>
          <w:lang w:eastAsia="de-DE"/>
        </w:rPr>
        <w:t>nationaler Organisationen in Russland, die nach dem Völkerrecht Immunität genießen.</w:t>
      </w:r>
    </w:p>
    <w:p w14:paraId="67C88899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lastRenderedPageBreak/>
        <w:t xml:space="preserve">e) den Kauf, die Einfuhr oder die Beförderung von Erdgas und </w:t>
      </w:r>
      <w:r>
        <w:rPr>
          <w:rFonts w:eastAsia="Times New Roman" w:cs="Arial"/>
          <w:szCs w:val="20"/>
          <w:lang w:eastAsia="de-DE"/>
        </w:rPr>
        <w:t>Erdöl, einschließlich raffinier</w:t>
      </w:r>
      <w:r w:rsidRPr="00B378DE">
        <w:rPr>
          <w:rFonts w:eastAsia="Times New Roman" w:cs="Arial"/>
          <w:szCs w:val="20"/>
          <w:lang w:eastAsia="de-DE"/>
        </w:rPr>
        <w:t>ter Erdölerzeugnisse, sowie von Titan, Aluminium, Kupfer, Nickel, Palladium und Eisenerz aus oder durch Russland in die Union, oder</w:t>
      </w:r>
    </w:p>
    <w:p w14:paraId="132D447B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f) den Kauf, die Einfuhr oder die Beförderung von Kohle und a</w:t>
      </w:r>
      <w:r>
        <w:rPr>
          <w:rFonts w:eastAsia="Times New Roman" w:cs="Arial"/>
          <w:szCs w:val="20"/>
          <w:lang w:eastAsia="de-DE"/>
        </w:rPr>
        <w:t>nderen festen fossile Brennstof</w:t>
      </w:r>
      <w:r w:rsidRPr="00B378DE">
        <w:rPr>
          <w:rFonts w:eastAsia="Times New Roman" w:cs="Arial"/>
          <w:szCs w:val="20"/>
          <w:lang w:eastAsia="de-DE"/>
        </w:rPr>
        <w:t>fen, die in Anhang XXII aufgeführt sind, bis 10. August 2022.</w:t>
      </w:r>
    </w:p>
    <w:p w14:paraId="4AA8CF91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492FBFF2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(3) Der betreffende Mitgliedstaat unterrichtet die anderen Mitgliedstaaten und die Kommission über jede nach diesem Artikel erteilte Genehmigung innerhalb von zwei Wochen nach deren Erteilung.</w:t>
      </w:r>
    </w:p>
    <w:p w14:paraId="47E391B0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0058E090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(4) Die Verbote gemäß Absatz 1 gelten nicht für die Erfüllung — bis zum 10. Oktober 2022 — von Verträgen, die vor dem 9. April 2022 geschlossen wurden.“</w:t>
      </w:r>
    </w:p>
    <w:p w14:paraId="6CAB9CB2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0EA75533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447C430B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6E24DBB4" w14:textId="77777777" w:rsidR="00AB7AC9" w:rsidRPr="00AB7AC9" w:rsidRDefault="00AB7AC9" w:rsidP="00D52417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b/>
          <w:szCs w:val="20"/>
          <w:lang w:eastAsia="de-DE"/>
        </w:rPr>
      </w:pPr>
      <w:r w:rsidRPr="00AB7AC9">
        <w:rPr>
          <w:rFonts w:eastAsia="Times New Roman" w:cs="Arial"/>
          <w:b/>
          <w:szCs w:val="20"/>
          <w:lang w:eastAsia="de-DE"/>
        </w:rPr>
        <w:t>Ich/Wir nehmen die oben genannten rest</w:t>
      </w:r>
      <w:r w:rsidR="00A73F48">
        <w:rPr>
          <w:rFonts w:eastAsia="Times New Roman" w:cs="Arial"/>
          <w:b/>
          <w:szCs w:val="20"/>
          <w:lang w:eastAsia="de-DE"/>
        </w:rPr>
        <w:t xml:space="preserve">riktiven Maßnahmen zur Kenntnis und erklären, dass ich/wir und </w:t>
      </w:r>
      <w:r w:rsidR="00D52417">
        <w:rPr>
          <w:rFonts w:eastAsia="Times New Roman" w:cs="Arial"/>
          <w:b/>
          <w:szCs w:val="20"/>
          <w:lang w:eastAsia="de-DE"/>
        </w:rPr>
        <w:t xml:space="preserve">die ggf. eingesetzten Nachunternehmen nicht zu den darin genannten </w:t>
      </w:r>
      <w:r w:rsidR="00D52417" w:rsidRPr="00D52417">
        <w:rPr>
          <w:rFonts w:eastAsia="Times New Roman" w:cs="Arial"/>
          <w:b/>
          <w:szCs w:val="20"/>
          <w:lang w:eastAsia="de-DE"/>
        </w:rPr>
        <w:t>Personen, Organisationen oder Einrichtungen</w:t>
      </w:r>
      <w:r w:rsidR="00D52417">
        <w:rPr>
          <w:rFonts w:eastAsia="Times New Roman" w:cs="Arial"/>
          <w:b/>
          <w:szCs w:val="20"/>
          <w:lang w:eastAsia="de-DE"/>
        </w:rPr>
        <w:t xml:space="preserve"> zählen.</w:t>
      </w:r>
    </w:p>
    <w:p w14:paraId="170D7903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AE81BDD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3581DAD5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51B4E66F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3F90DFD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49A5856" w14:textId="77777777" w:rsidR="00B378DE" w:rsidRPr="006978D6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503BA246" w14:textId="77777777" w:rsidR="00B378DE" w:rsidRPr="006978D6" w:rsidRDefault="00B378DE" w:rsidP="00B378DE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 w:rsidRPr="006978D6">
        <w:rPr>
          <w:rFonts w:eastAsia="Times New Roman" w:cs="Arial"/>
          <w:szCs w:val="20"/>
          <w:lang w:eastAsia="de-DE"/>
        </w:rPr>
        <w:t>Textform/Unterschrift(en) ggf. Firmenstempel</w:t>
      </w:r>
    </w:p>
    <w:p w14:paraId="4C5B6E39" w14:textId="7810E29C" w:rsidR="00B378DE" w:rsidRPr="001271B0" w:rsidRDefault="00B378DE" w:rsidP="001271B0">
      <w:pPr>
        <w:pStyle w:val="KeinLeerraum"/>
        <w:rPr>
          <w:b/>
          <w:bCs/>
          <w:sz w:val="16"/>
          <w:szCs w:val="16"/>
        </w:rPr>
      </w:pPr>
      <w:r w:rsidRPr="006978D6">
        <w:rPr>
          <w:b/>
          <w:bCs/>
          <w:sz w:val="16"/>
          <w:szCs w:val="16"/>
        </w:rPr>
        <w:t xml:space="preserve">Ist bei einem elektronisch übermittelten Angebot in Textform der Name der handelnden vertretungsberechtigten </w:t>
      </w:r>
      <w:r w:rsidRPr="006978D6">
        <w:rPr>
          <w:b/>
          <w:sz w:val="16"/>
          <w:szCs w:val="16"/>
        </w:rPr>
        <w:t>natürlichen Person, die die Erklärung abgibt,</w:t>
      </w:r>
      <w:r w:rsidRPr="006978D6">
        <w:rPr>
          <w:sz w:val="16"/>
          <w:szCs w:val="16"/>
        </w:rPr>
        <w:t xml:space="preserve"> </w:t>
      </w:r>
      <w:r w:rsidRPr="006978D6">
        <w:rPr>
          <w:b/>
          <w:bCs/>
          <w:sz w:val="16"/>
          <w:szCs w:val="16"/>
        </w:rPr>
        <w:t xml:space="preserve">nicht angegeben, </w:t>
      </w:r>
      <w:r w:rsidRPr="001271B0">
        <w:rPr>
          <w:b/>
          <w:bCs/>
          <w:sz w:val="16"/>
          <w:szCs w:val="16"/>
        </w:rPr>
        <w:t>kann das Angebot ausgeschlossen werden.</w:t>
      </w:r>
    </w:p>
    <w:p w14:paraId="6AA06BED" w14:textId="77777777" w:rsidR="00321FB7" w:rsidRDefault="00321FB7"/>
    <w:p w14:paraId="27596088" w14:textId="77777777" w:rsidR="00321FB7" w:rsidRPr="00321FB7" w:rsidRDefault="00321FB7" w:rsidP="00321FB7"/>
    <w:p w14:paraId="2AD8F76E" w14:textId="77777777" w:rsidR="00321FB7" w:rsidRPr="00321FB7" w:rsidRDefault="00321FB7" w:rsidP="00321FB7"/>
    <w:p w14:paraId="60990F60" w14:textId="77777777" w:rsidR="00321FB7" w:rsidRPr="00321FB7" w:rsidRDefault="00321FB7" w:rsidP="00321FB7"/>
    <w:p w14:paraId="6AEFBC99" w14:textId="77777777" w:rsidR="00321FB7" w:rsidRPr="00321FB7" w:rsidRDefault="00321FB7" w:rsidP="00321FB7"/>
    <w:p w14:paraId="0A233AE9" w14:textId="77777777" w:rsidR="00321FB7" w:rsidRPr="00321FB7" w:rsidRDefault="00321FB7" w:rsidP="00321FB7"/>
    <w:p w14:paraId="0497C3E8" w14:textId="77777777" w:rsidR="00321FB7" w:rsidRPr="00321FB7" w:rsidRDefault="00321FB7" w:rsidP="00321FB7"/>
    <w:p w14:paraId="4D4344CB" w14:textId="77777777" w:rsidR="00321FB7" w:rsidRPr="00321FB7" w:rsidRDefault="00321FB7" w:rsidP="00321FB7"/>
    <w:p w14:paraId="28B2EB5A" w14:textId="77777777" w:rsidR="00321FB7" w:rsidRPr="00321FB7" w:rsidRDefault="00321FB7" w:rsidP="00321FB7"/>
    <w:p w14:paraId="72FB99BC" w14:textId="77777777" w:rsidR="00321FB7" w:rsidRPr="00321FB7" w:rsidRDefault="00321FB7" w:rsidP="00321FB7"/>
    <w:p w14:paraId="3945AA6C" w14:textId="77777777" w:rsidR="00321FB7" w:rsidRPr="00321FB7" w:rsidRDefault="00321FB7" w:rsidP="00321FB7"/>
    <w:p w14:paraId="40A7C514" w14:textId="77777777" w:rsidR="00321FB7" w:rsidRPr="00321FB7" w:rsidRDefault="00321FB7" w:rsidP="00321FB7"/>
    <w:p w14:paraId="7F4073EB" w14:textId="77777777" w:rsidR="00321FB7" w:rsidRPr="00321FB7" w:rsidRDefault="00321FB7" w:rsidP="00321FB7"/>
    <w:p w14:paraId="66ABEE89" w14:textId="77777777" w:rsidR="00321FB7" w:rsidRPr="00321FB7" w:rsidRDefault="00321FB7" w:rsidP="00321FB7"/>
    <w:p w14:paraId="6CEAFAD3" w14:textId="77777777" w:rsidR="00321FB7" w:rsidRDefault="00321FB7" w:rsidP="00321FB7"/>
    <w:p w14:paraId="0DA55090" w14:textId="77777777" w:rsidR="001271B0" w:rsidRPr="00321FB7" w:rsidRDefault="001271B0" w:rsidP="00321FB7">
      <w:pPr>
        <w:jc w:val="right"/>
      </w:pPr>
    </w:p>
    <w:sectPr w:rsidR="001271B0" w:rsidRPr="00321FB7" w:rsidSect="00321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283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F35B" w14:textId="77777777" w:rsidR="00F81C0B" w:rsidRDefault="00F81C0B" w:rsidP="00B378DE">
      <w:pPr>
        <w:spacing w:before="0" w:after="0" w:line="240" w:lineRule="auto"/>
      </w:pPr>
      <w:r>
        <w:separator/>
      </w:r>
    </w:p>
  </w:endnote>
  <w:endnote w:type="continuationSeparator" w:id="0">
    <w:p w14:paraId="4B8FD18A" w14:textId="77777777" w:rsidR="00F81C0B" w:rsidRDefault="00F81C0B" w:rsidP="00B378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283" w14:textId="77777777" w:rsidR="00645E17" w:rsidRDefault="00645E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21FB7" w:rsidRPr="003A7C46" w14:paraId="56D7E347" w14:textId="77777777" w:rsidTr="004E2132">
      <w:trPr>
        <w:cantSplit/>
      </w:trPr>
      <w:tc>
        <w:tcPr>
          <w:tcW w:w="9214" w:type="dxa"/>
          <w:noWrap/>
          <w:vAlign w:val="center"/>
        </w:tcPr>
        <w:p w14:paraId="3080C37A" w14:textId="77777777" w:rsidR="00321FB7" w:rsidRPr="003A7C46" w:rsidRDefault="00321FB7" w:rsidP="00321FB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4.12 – Erklärung restriktive Maßnahmen </w:t>
          </w:r>
        </w:p>
      </w:tc>
    </w:tr>
    <w:tr w:rsidR="00321FB7" w:rsidRPr="003A7C46" w14:paraId="62A0AAFD" w14:textId="77777777" w:rsidTr="004E2132">
      <w:trPr>
        <w:cantSplit/>
      </w:trPr>
      <w:tc>
        <w:tcPr>
          <w:tcW w:w="9214" w:type="dxa"/>
          <w:noWrap/>
          <w:vAlign w:val="center"/>
        </w:tcPr>
        <w:p w14:paraId="33371155" w14:textId="77777777" w:rsidR="00321FB7" w:rsidRPr="00821F40" w:rsidRDefault="00321FB7" w:rsidP="00645E1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821F40">
            <w:rPr>
              <w:rFonts w:cs="Arial"/>
              <w:sz w:val="16"/>
              <w:szCs w:val="16"/>
            </w:rPr>
            <w:t>La</w:t>
          </w:r>
          <w:r>
            <w:rPr>
              <w:rFonts w:cs="Arial"/>
              <w:sz w:val="16"/>
              <w:szCs w:val="16"/>
            </w:rPr>
            <w:t xml:space="preserve">ndeshauptstadt </w:t>
          </w:r>
          <w:proofErr w:type="gramStart"/>
          <w:r>
            <w:rPr>
              <w:rFonts w:cs="Arial"/>
              <w:sz w:val="16"/>
              <w:szCs w:val="16"/>
            </w:rPr>
            <w:t>Potsdam  Stand</w:t>
          </w:r>
          <w:proofErr w:type="gramEnd"/>
          <w:r>
            <w:rPr>
              <w:rFonts w:cs="Arial"/>
              <w:sz w:val="16"/>
              <w:szCs w:val="16"/>
            </w:rPr>
            <w:t xml:space="preserve"> </w:t>
          </w:r>
          <w:r w:rsidR="00645E17">
            <w:rPr>
              <w:rFonts w:cs="Arial"/>
              <w:sz w:val="16"/>
              <w:szCs w:val="16"/>
            </w:rPr>
            <w:t>04</w:t>
          </w:r>
          <w:r w:rsidRPr="00821F40">
            <w:rPr>
              <w:rFonts w:cs="Arial"/>
              <w:sz w:val="16"/>
              <w:szCs w:val="16"/>
            </w:rPr>
            <w:t>/20</w:t>
          </w:r>
          <w:r>
            <w:rPr>
              <w:rFonts w:cs="Arial"/>
              <w:sz w:val="16"/>
              <w:szCs w:val="16"/>
            </w:rPr>
            <w:t>2</w:t>
          </w:r>
          <w:r w:rsidR="00645E17">
            <w:rPr>
              <w:rFonts w:cs="Arial"/>
              <w:sz w:val="16"/>
              <w:szCs w:val="16"/>
            </w:rPr>
            <w:t>2</w:t>
          </w:r>
        </w:p>
      </w:tc>
    </w:tr>
  </w:tbl>
  <w:p w14:paraId="48CCA631" w14:textId="77777777" w:rsidR="00321FB7" w:rsidRPr="00321FB7" w:rsidRDefault="00321FB7" w:rsidP="00321F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C6F7" w14:textId="77777777" w:rsidR="00645E17" w:rsidRDefault="00645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0F4" w14:textId="77777777" w:rsidR="00F81C0B" w:rsidRDefault="00F81C0B" w:rsidP="00B378DE">
      <w:pPr>
        <w:spacing w:before="0" w:after="0" w:line="240" w:lineRule="auto"/>
      </w:pPr>
      <w:r>
        <w:separator/>
      </w:r>
    </w:p>
  </w:footnote>
  <w:footnote w:type="continuationSeparator" w:id="0">
    <w:p w14:paraId="3CE2F675" w14:textId="77777777" w:rsidR="00F81C0B" w:rsidRDefault="00F81C0B" w:rsidP="00B378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D84A" w14:textId="77777777" w:rsidR="00645E17" w:rsidRDefault="00645E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9228" w14:textId="77777777" w:rsidR="00321FB7" w:rsidRDefault="00321FB7">
    <w:pPr>
      <w:pStyle w:val="Kopfzeile"/>
    </w:pPr>
    <w:r>
      <w:t xml:space="preserve">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12C2909A" wp14:editId="4D321672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6B49" w14:textId="77777777" w:rsidR="00645E17" w:rsidRDefault="00645E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72B5"/>
    <w:multiLevelType w:val="hybridMultilevel"/>
    <w:tmpl w:val="CE38C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05B67"/>
    <w:multiLevelType w:val="hybridMultilevel"/>
    <w:tmpl w:val="10620616"/>
    <w:lvl w:ilvl="0" w:tplc="2B26C0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3667711">
    <w:abstractNumId w:val="0"/>
  </w:num>
  <w:num w:numId="2" w16cid:durableId="1190030848">
    <w:abstractNumId w:val="2"/>
  </w:num>
  <w:num w:numId="3" w16cid:durableId="132469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DE"/>
    <w:rsid w:val="000106A6"/>
    <w:rsid w:val="00027033"/>
    <w:rsid w:val="001271B0"/>
    <w:rsid w:val="001E5A5B"/>
    <w:rsid w:val="001F5A9A"/>
    <w:rsid w:val="00225D56"/>
    <w:rsid w:val="0025727A"/>
    <w:rsid w:val="002A167C"/>
    <w:rsid w:val="00321FB7"/>
    <w:rsid w:val="00505F31"/>
    <w:rsid w:val="00645E17"/>
    <w:rsid w:val="00670016"/>
    <w:rsid w:val="00A05DA6"/>
    <w:rsid w:val="00A73F48"/>
    <w:rsid w:val="00AA1AD2"/>
    <w:rsid w:val="00AB7AC9"/>
    <w:rsid w:val="00B378DE"/>
    <w:rsid w:val="00BC20F6"/>
    <w:rsid w:val="00C05437"/>
    <w:rsid w:val="00CB3B08"/>
    <w:rsid w:val="00D52417"/>
    <w:rsid w:val="00E4189C"/>
    <w:rsid w:val="00F47B31"/>
    <w:rsid w:val="00F81C0B"/>
    <w:rsid w:val="00F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44C17"/>
  <w15:chartTrackingRefBased/>
  <w15:docId w15:val="{5930D74B-406F-441A-A5B1-BEEB11C6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B378DE"/>
    <w:pPr>
      <w:spacing w:before="120" w:after="60" w:line="276" w:lineRule="auto"/>
      <w:ind w:firstLine="567"/>
      <w:jc w:val="both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78DE"/>
    <w:pPr>
      <w:spacing w:before="120" w:after="60" w:line="276" w:lineRule="auto"/>
      <w:jc w:val="both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8D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8DE"/>
    <w:rPr>
      <w:rFonts w:ascii="Arial" w:hAnsi="Arial"/>
      <w:sz w:val="20"/>
    </w:rPr>
  </w:style>
  <w:style w:type="table" w:styleId="Tabellenraster">
    <w:name w:val="Table Grid"/>
    <w:basedOn w:val="NormaleTabelle"/>
    <w:rsid w:val="00B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78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F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9396-F909-4933-B2EB-EE06136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Ludewig, Thomas</dc:creator>
  <cp:keywords/>
  <dc:description/>
  <cp:lastModifiedBy>Veres, Bianca</cp:lastModifiedBy>
  <cp:revision>6</cp:revision>
  <cp:lastPrinted>2022-04-14T05:05:00Z</cp:lastPrinted>
  <dcterms:created xsi:type="dcterms:W3CDTF">2022-04-14T12:22:00Z</dcterms:created>
  <dcterms:modified xsi:type="dcterms:W3CDTF">2026-02-05T09:52:00Z</dcterms:modified>
</cp:coreProperties>
</file>