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7F4B" w14:textId="77777777" w:rsidR="00382EEB" w:rsidRPr="00382EEB" w:rsidRDefault="00382EEB" w:rsidP="00382EEB">
      <w:pPr>
        <w:jc w:val="both"/>
        <w:rPr>
          <w:sz w:val="20"/>
          <w:szCs w:val="24"/>
        </w:rPr>
      </w:pPr>
      <w:r w:rsidRPr="00382EEB">
        <w:rPr>
          <w:rFonts w:eastAsia="Calibri"/>
          <w:b/>
          <w:sz w:val="20"/>
          <w:szCs w:val="22"/>
          <w:lang w:eastAsia="en-US"/>
        </w:rPr>
        <w:t>Vergabeverfahren</w:t>
      </w:r>
    </w:p>
    <w:tbl>
      <w:tblPr>
        <w:tblW w:w="90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5"/>
        <w:gridCol w:w="1980"/>
      </w:tblGrid>
      <w:tr w:rsidR="0063304C" w:rsidRPr="00382EEB" w14:paraId="34118232" w14:textId="77777777" w:rsidTr="00A440EA">
        <w:trPr>
          <w:trHeight w:val="1201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CD477F" w14:textId="2237E81F" w:rsidR="0063304C" w:rsidRPr="00A440EA" w:rsidRDefault="0063304C" w:rsidP="00F013FB">
            <w:pPr>
              <w:tabs>
                <w:tab w:val="left" w:pos="910"/>
              </w:tabs>
              <w:jc w:val="both"/>
              <w:rPr>
                <w:rFonts w:cs="Arial"/>
                <w:sz w:val="20"/>
              </w:rPr>
            </w:pPr>
            <w:r w:rsidRPr="00A440EA">
              <w:rPr>
                <w:sz w:val="20"/>
              </w:rPr>
              <w:t>Lotsendienst-Potsdam - Rahmenvereinbarungen für die Erbringung von individuellen und spezifischen Qualifizierungs-, Beratungs- und Coachingleistungen (QBC, Los 1) und für die Durchführung von Development Centern (DC, Los 2) für Existenzgründende in der Vorgründungsphase in der Landeshauptstadt Potsdam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CB884" w14:textId="77777777" w:rsidR="0063304C" w:rsidRPr="00382EEB" w:rsidRDefault="0063304C" w:rsidP="00382EEB">
            <w:pPr>
              <w:spacing w:after="60"/>
              <w:rPr>
                <w:rFonts w:cs="Arial"/>
                <w:sz w:val="20"/>
              </w:rPr>
            </w:pPr>
            <w:r w:rsidRPr="00382EEB">
              <w:rPr>
                <w:rFonts w:cs="Arial"/>
                <w:sz w:val="20"/>
              </w:rPr>
              <w:t>Vergabenummer</w:t>
            </w:r>
          </w:p>
          <w:p w14:paraId="007F70A8" w14:textId="65C126CA" w:rsidR="0063304C" w:rsidRPr="00382EEB" w:rsidRDefault="0063304C" w:rsidP="00D94D55">
            <w:pPr>
              <w:rPr>
                <w:rFonts w:cs="Arial"/>
                <w:sz w:val="20"/>
              </w:rPr>
            </w:pPr>
            <w:r w:rsidRPr="00D94D55">
              <w:rPr>
                <w:sz w:val="22"/>
                <w:szCs w:val="22"/>
              </w:rPr>
              <w:t>OV-L-402-29-26</w:t>
            </w:r>
          </w:p>
        </w:tc>
      </w:tr>
    </w:tbl>
    <w:p w14:paraId="6247659B" w14:textId="77777777" w:rsidR="001870D4" w:rsidRDefault="001870D4" w:rsidP="001870D4">
      <w:pPr>
        <w:jc w:val="both"/>
      </w:pPr>
    </w:p>
    <w:p w14:paraId="6811D149" w14:textId="77777777" w:rsidR="002028C5" w:rsidRPr="006B2D43" w:rsidRDefault="00382EEB" w:rsidP="002028C5">
      <w:pPr>
        <w:jc w:val="center"/>
        <w:rPr>
          <w:b/>
          <w:szCs w:val="24"/>
        </w:rPr>
      </w:pPr>
      <w:r w:rsidRPr="006B2D43">
        <w:rPr>
          <w:b/>
          <w:szCs w:val="24"/>
        </w:rPr>
        <w:t>PREISBLATT</w:t>
      </w:r>
    </w:p>
    <w:p w14:paraId="0E96BF87" w14:textId="77777777" w:rsidR="00B64B11" w:rsidRDefault="00B64B11" w:rsidP="002028C5">
      <w:pPr>
        <w:jc w:val="center"/>
        <w:rPr>
          <w:b/>
          <w:sz w:val="22"/>
          <w:szCs w:val="22"/>
        </w:rPr>
      </w:pPr>
    </w:p>
    <w:p w14:paraId="483E67FF" w14:textId="79E749AE" w:rsidR="00253CE2" w:rsidRPr="00264934" w:rsidRDefault="00EC59F6" w:rsidP="00253CE2">
      <w:pPr>
        <w:jc w:val="center"/>
        <w:rPr>
          <w:b/>
          <w:szCs w:val="24"/>
          <w:lang w:val="fr-FR"/>
        </w:rPr>
      </w:pPr>
      <w:r w:rsidRPr="00264934">
        <w:rPr>
          <w:b/>
          <w:szCs w:val="24"/>
          <w:lang w:val="fr-FR"/>
        </w:rPr>
        <w:t xml:space="preserve">Los </w:t>
      </w:r>
      <w:r w:rsidR="008E7FF5">
        <w:rPr>
          <w:b/>
          <w:szCs w:val="24"/>
          <w:lang w:val="fr-FR"/>
        </w:rPr>
        <w:t>1</w:t>
      </w:r>
      <w:r w:rsidRPr="00264934">
        <w:rPr>
          <w:b/>
          <w:szCs w:val="24"/>
          <w:lang w:val="fr-FR"/>
        </w:rPr>
        <w:t xml:space="preserve"> - individuelle </w:t>
      </w:r>
      <w:proofErr w:type="spellStart"/>
      <w:r w:rsidRPr="00264934">
        <w:rPr>
          <w:b/>
          <w:szCs w:val="24"/>
          <w:lang w:val="fr-FR"/>
        </w:rPr>
        <w:t>und</w:t>
      </w:r>
      <w:proofErr w:type="spellEnd"/>
      <w:r w:rsidRPr="00264934">
        <w:rPr>
          <w:b/>
          <w:szCs w:val="24"/>
          <w:lang w:val="fr-FR"/>
        </w:rPr>
        <w:t xml:space="preserve"> </w:t>
      </w:r>
      <w:proofErr w:type="spellStart"/>
      <w:r w:rsidRPr="00264934">
        <w:rPr>
          <w:b/>
          <w:szCs w:val="24"/>
          <w:lang w:val="fr-FR"/>
        </w:rPr>
        <w:t>spezifische</w:t>
      </w:r>
      <w:proofErr w:type="spellEnd"/>
      <w:r w:rsidRPr="00264934">
        <w:rPr>
          <w:b/>
          <w:szCs w:val="24"/>
          <w:lang w:val="fr-FR"/>
        </w:rPr>
        <w:t xml:space="preserve"> </w:t>
      </w:r>
      <w:proofErr w:type="spellStart"/>
      <w:r w:rsidR="0063304C" w:rsidRPr="0063304C">
        <w:rPr>
          <w:b/>
          <w:szCs w:val="24"/>
          <w:lang w:val="fr-FR"/>
        </w:rPr>
        <w:t>Qualifizierungs</w:t>
      </w:r>
      <w:proofErr w:type="spellEnd"/>
      <w:r w:rsidR="0063304C" w:rsidRPr="0063304C">
        <w:rPr>
          <w:b/>
          <w:szCs w:val="24"/>
          <w:lang w:val="fr-FR"/>
        </w:rPr>
        <w:t xml:space="preserve">-, </w:t>
      </w:r>
      <w:proofErr w:type="spellStart"/>
      <w:r w:rsidR="0063304C" w:rsidRPr="0063304C">
        <w:rPr>
          <w:b/>
          <w:szCs w:val="24"/>
          <w:lang w:val="fr-FR"/>
        </w:rPr>
        <w:t>Beratungs</w:t>
      </w:r>
      <w:proofErr w:type="spellEnd"/>
      <w:r w:rsidR="0063304C" w:rsidRPr="0063304C">
        <w:rPr>
          <w:b/>
          <w:szCs w:val="24"/>
          <w:lang w:val="fr-FR"/>
        </w:rPr>
        <w:t xml:space="preserve">- </w:t>
      </w:r>
      <w:proofErr w:type="spellStart"/>
      <w:r w:rsidR="0063304C" w:rsidRPr="0063304C">
        <w:rPr>
          <w:b/>
          <w:szCs w:val="24"/>
          <w:lang w:val="fr-FR"/>
        </w:rPr>
        <w:t>und</w:t>
      </w:r>
      <w:proofErr w:type="spellEnd"/>
      <w:r w:rsidR="0063304C" w:rsidRPr="0063304C">
        <w:rPr>
          <w:b/>
          <w:szCs w:val="24"/>
          <w:lang w:val="fr-FR"/>
        </w:rPr>
        <w:t xml:space="preserve"> </w:t>
      </w:r>
      <w:proofErr w:type="spellStart"/>
      <w:r w:rsidR="0063304C" w:rsidRPr="0063304C">
        <w:rPr>
          <w:b/>
          <w:szCs w:val="24"/>
          <w:lang w:val="fr-FR"/>
        </w:rPr>
        <w:t>Coachingleistungen</w:t>
      </w:r>
      <w:proofErr w:type="spellEnd"/>
      <w:r w:rsidR="0063304C" w:rsidRPr="0063304C">
        <w:rPr>
          <w:b/>
          <w:szCs w:val="24"/>
          <w:lang w:val="fr-FR"/>
        </w:rPr>
        <w:t xml:space="preserve"> </w:t>
      </w:r>
      <w:r w:rsidR="00D94D55">
        <w:rPr>
          <w:b/>
          <w:szCs w:val="24"/>
          <w:lang w:val="fr-FR"/>
        </w:rPr>
        <w:t>(QBC)</w:t>
      </w:r>
    </w:p>
    <w:p w14:paraId="1D288631" w14:textId="77777777" w:rsidR="00253CE2" w:rsidRPr="002028C5" w:rsidRDefault="00253CE2" w:rsidP="002028C5">
      <w:pPr>
        <w:jc w:val="center"/>
        <w:rPr>
          <w:b/>
          <w:sz w:val="28"/>
          <w:szCs w:val="28"/>
        </w:rPr>
      </w:pPr>
    </w:p>
    <w:p w14:paraId="36B0D680" w14:textId="77777777" w:rsidR="00FE46AA" w:rsidRPr="006B2D43" w:rsidRDefault="00FE46AA" w:rsidP="00FE46AA">
      <w:pPr>
        <w:jc w:val="both"/>
        <w:rPr>
          <w:b/>
          <w:sz w:val="22"/>
          <w:szCs w:val="18"/>
        </w:rPr>
      </w:pPr>
      <w:r w:rsidRPr="006B2D43">
        <w:rPr>
          <w:b/>
          <w:sz w:val="22"/>
          <w:szCs w:val="18"/>
        </w:rPr>
        <w:t xml:space="preserve">Die beauftragten Leistungen werden pauschal vergütet. Die angebotenen Preise umfassen alle Kosten gemäß Leistungsbeschreibung einschließlich aller ggf. anfallenden Nebenkosten (z.B. Reisekosten und -zeiten, Sachmittel, Leistungen Dritter). </w:t>
      </w:r>
    </w:p>
    <w:p w14:paraId="3921B807" w14:textId="77777777" w:rsidR="00FE46AA" w:rsidRDefault="00FE46AA" w:rsidP="00FE46AA">
      <w:pPr>
        <w:jc w:val="both"/>
        <w:rPr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FE46AA" w14:paraId="62EC1A22" w14:textId="77777777" w:rsidTr="008E348E">
        <w:trPr>
          <w:trHeight w:val="3642"/>
        </w:trPr>
        <w:tc>
          <w:tcPr>
            <w:tcW w:w="4678" w:type="dxa"/>
            <w:vAlign w:val="center"/>
          </w:tcPr>
          <w:p w14:paraId="5D9DC1FA" w14:textId="38C3EE00" w:rsidR="00AD635C" w:rsidRPr="006B2D43" w:rsidRDefault="00253CE2" w:rsidP="008E348E">
            <w:pPr>
              <w:rPr>
                <w:szCs w:val="24"/>
              </w:rPr>
            </w:pPr>
            <w:r w:rsidRPr="006B2D43">
              <w:rPr>
                <w:szCs w:val="24"/>
              </w:rPr>
              <w:t xml:space="preserve">Durchführung von </w:t>
            </w:r>
            <w:r w:rsidR="00AD635C" w:rsidRPr="006B2D43">
              <w:rPr>
                <w:szCs w:val="24"/>
              </w:rPr>
              <w:t>Qualifizierungs-, Beratungs- und Coachingleistungen</w:t>
            </w:r>
          </w:p>
          <w:p w14:paraId="08278112" w14:textId="77777777" w:rsidR="00253CE2" w:rsidRPr="006B2D43" w:rsidRDefault="00253CE2" w:rsidP="008E348E">
            <w:pPr>
              <w:spacing w:before="240"/>
              <w:rPr>
                <w:b/>
              </w:rPr>
            </w:pPr>
            <w:r w:rsidRPr="006B2D43">
              <w:rPr>
                <w:b/>
              </w:rPr>
              <w:t>Meng</w:t>
            </w:r>
            <w:r w:rsidR="00FE438A" w:rsidRPr="006B2D43">
              <w:rPr>
                <w:b/>
              </w:rPr>
              <w:t>e</w:t>
            </w:r>
            <w:r w:rsidRPr="006B2D43">
              <w:rPr>
                <w:b/>
              </w:rPr>
              <w:t xml:space="preserve"> und Einheit: </w:t>
            </w:r>
            <w:r w:rsidR="00AD635C" w:rsidRPr="006B2D43">
              <w:rPr>
                <w:b/>
              </w:rPr>
              <w:br/>
            </w:r>
            <w:r w:rsidRPr="006B2D43">
              <w:rPr>
                <w:b/>
              </w:rPr>
              <w:t xml:space="preserve">1 </w:t>
            </w:r>
            <w:r w:rsidR="00AD635C" w:rsidRPr="006B2D43">
              <w:rPr>
                <w:b/>
              </w:rPr>
              <w:t>Arbeitsstunde (1h = 60 Minuten)</w:t>
            </w:r>
          </w:p>
          <w:p w14:paraId="56D292FD" w14:textId="77777777" w:rsidR="00C26DED" w:rsidRDefault="00C26DED" w:rsidP="008E348E">
            <w:pPr>
              <w:rPr>
                <w:bCs/>
                <w:sz w:val="18"/>
                <w:szCs w:val="18"/>
              </w:rPr>
            </w:pPr>
          </w:p>
          <w:p w14:paraId="6E8F3C92" w14:textId="459B3F6F" w:rsidR="00C26DED" w:rsidRPr="00AD2737" w:rsidRDefault="00AB541F" w:rsidP="008E348E">
            <w:pPr>
              <w:jc w:val="both"/>
              <w:rPr>
                <w:bCs/>
                <w:sz w:val="18"/>
                <w:szCs w:val="18"/>
              </w:rPr>
            </w:pPr>
            <w:r w:rsidRPr="00C26DED">
              <w:rPr>
                <w:bCs/>
                <w:sz w:val="18"/>
                <w:szCs w:val="18"/>
              </w:rPr>
              <w:t xml:space="preserve">Die Rahmenobergrenze beträgt max. 220 Einzelabrufe. </w:t>
            </w:r>
            <w:r w:rsidR="006B2D43" w:rsidRPr="006B2D43">
              <w:rPr>
                <w:bCs/>
                <w:sz w:val="18"/>
                <w:szCs w:val="18"/>
              </w:rPr>
              <w:t>Das Gesamtvolumen der zu erbringenden Leistungen beläuft sich nach Schätzung der LHP auf etwa 200 einzelne Verträge für Qualifizierungs-, Beratungs- und Coachingleistungen.</w:t>
            </w:r>
            <w:r w:rsidR="006B2D43">
              <w:rPr>
                <w:bCs/>
                <w:sz w:val="18"/>
                <w:szCs w:val="18"/>
              </w:rPr>
              <w:t xml:space="preserve"> </w:t>
            </w:r>
            <w:r w:rsidR="007A0657" w:rsidRPr="00C26DED">
              <w:rPr>
                <w:bCs/>
                <w:sz w:val="18"/>
                <w:szCs w:val="18"/>
              </w:rPr>
              <w:t xml:space="preserve">Mit dem Abschluss der Rahmenvereinbarung wird keine konkrete Anzahl an </w:t>
            </w:r>
            <w:r w:rsidR="007A0657" w:rsidRPr="00C26DED">
              <w:rPr>
                <w:sz w:val="18"/>
                <w:szCs w:val="18"/>
              </w:rPr>
              <w:t>Einzelabrufen</w:t>
            </w:r>
            <w:r w:rsidR="007A0657" w:rsidRPr="00C26DED">
              <w:rPr>
                <w:bCs/>
                <w:sz w:val="18"/>
                <w:szCs w:val="18"/>
              </w:rPr>
              <w:t xml:space="preserve"> zugesichert; es handelt sich um geschätzte Werte.</w:t>
            </w:r>
          </w:p>
        </w:tc>
        <w:tc>
          <w:tcPr>
            <w:tcW w:w="4426" w:type="dxa"/>
            <w:vAlign w:val="center"/>
          </w:tcPr>
          <w:p w14:paraId="3BFDB93E" w14:textId="609351BF" w:rsidR="00FE46AA" w:rsidRDefault="00FE46AA" w:rsidP="008F610D">
            <w:pPr>
              <w:spacing w:before="24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D94D55">
              <w:t xml:space="preserve"> </w:t>
            </w:r>
            <w:r w:rsidR="00F00D97">
              <w:t>EUR</w:t>
            </w:r>
            <w:r w:rsidR="00D94D55">
              <w:t xml:space="preserve"> netto</w:t>
            </w:r>
          </w:p>
          <w:p w14:paraId="2B97357F" w14:textId="7051FEFD" w:rsidR="00FE438A" w:rsidRPr="00253CE2" w:rsidRDefault="00AD635C" w:rsidP="008F610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pro Stunde</w:t>
            </w:r>
          </w:p>
        </w:tc>
      </w:tr>
      <w:tr w:rsidR="007C5D00" w14:paraId="46FE428E" w14:textId="77777777" w:rsidTr="000D5E0F">
        <w:tc>
          <w:tcPr>
            <w:tcW w:w="4678" w:type="dxa"/>
          </w:tcPr>
          <w:p w14:paraId="16B371C1" w14:textId="77777777" w:rsidR="007C5D00" w:rsidRPr="007C5D00" w:rsidRDefault="007C5D00" w:rsidP="00BA6167">
            <w:pPr>
              <w:spacing w:before="240" w:line="480" w:lineRule="auto"/>
              <w:jc w:val="right"/>
              <w:rPr>
                <w:b/>
                <w:szCs w:val="24"/>
              </w:rPr>
            </w:pPr>
            <w:r w:rsidRPr="007C5D00">
              <w:rPr>
                <w:b/>
                <w:szCs w:val="24"/>
              </w:rPr>
              <w:t>Stundensatz in netto</w:t>
            </w:r>
          </w:p>
        </w:tc>
        <w:tc>
          <w:tcPr>
            <w:tcW w:w="4426" w:type="dxa"/>
          </w:tcPr>
          <w:p w14:paraId="7D1FC610" w14:textId="2C295050" w:rsidR="007C5D00" w:rsidRPr="009B6B6E" w:rsidRDefault="004854FB" w:rsidP="000D5E0F">
            <w:pPr>
              <w:spacing w:before="240"/>
              <w:jc w:val="right"/>
              <w:rPr>
                <w:b/>
              </w:rPr>
            </w:pPr>
            <w:r w:rsidRPr="009B6B6E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B6E">
              <w:rPr>
                <w:b/>
              </w:rPr>
              <w:instrText xml:space="preserve"> FORMTEXT </w:instrText>
            </w:r>
            <w:r w:rsidRPr="009B6B6E">
              <w:rPr>
                <w:b/>
              </w:rPr>
            </w:r>
            <w:r w:rsidRPr="009B6B6E">
              <w:rPr>
                <w:b/>
              </w:rPr>
              <w:fldChar w:fldCharType="separate"/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</w:rPr>
              <w:fldChar w:fldCharType="end"/>
            </w:r>
            <w:r w:rsidR="00D94D55">
              <w:rPr>
                <w:b/>
              </w:rPr>
              <w:t xml:space="preserve"> </w:t>
            </w:r>
            <w:r w:rsidRPr="009B6B6E">
              <w:rPr>
                <w:b/>
              </w:rPr>
              <w:t>EUR</w:t>
            </w:r>
          </w:p>
        </w:tc>
      </w:tr>
      <w:tr w:rsidR="00FE46AA" w14:paraId="362BD437" w14:textId="77777777" w:rsidTr="000D5E0F">
        <w:tc>
          <w:tcPr>
            <w:tcW w:w="4678" w:type="dxa"/>
          </w:tcPr>
          <w:p w14:paraId="234C2D69" w14:textId="3DAF2936" w:rsidR="00FE46AA" w:rsidRPr="00CC1338" w:rsidRDefault="00FE46AA" w:rsidP="00BA6167">
            <w:pPr>
              <w:spacing w:before="240" w:line="480" w:lineRule="auto"/>
              <w:jc w:val="right"/>
              <w:rPr>
                <w:b/>
              </w:rPr>
            </w:pPr>
            <w:r w:rsidRPr="00CC1338">
              <w:rPr>
                <w:b/>
              </w:rPr>
              <w:t xml:space="preserve">zzgl. </w:t>
            </w:r>
            <w:r w:rsidR="00F00D97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F00D97">
              <w:rPr>
                <w:b/>
              </w:rPr>
              <w:instrText xml:space="preserve"> FORMTEXT </w:instrText>
            </w:r>
            <w:r w:rsidR="00F00D97">
              <w:rPr>
                <w:b/>
              </w:rPr>
            </w:r>
            <w:r w:rsidR="00F00D97">
              <w:rPr>
                <w:b/>
              </w:rPr>
              <w:fldChar w:fldCharType="separate"/>
            </w:r>
            <w:r w:rsidR="00F00D97">
              <w:rPr>
                <w:b/>
                <w:noProof/>
              </w:rPr>
              <w:t> </w:t>
            </w:r>
            <w:r w:rsidR="00F00D97">
              <w:rPr>
                <w:b/>
                <w:noProof/>
              </w:rPr>
              <w:t> </w:t>
            </w:r>
            <w:r w:rsidR="00F00D97">
              <w:rPr>
                <w:b/>
                <w:noProof/>
              </w:rPr>
              <w:t> </w:t>
            </w:r>
            <w:r w:rsidR="00F00D97">
              <w:rPr>
                <w:b/>
                <w:noProof/>
              </w:rPr>
              <w:t> </w:t>
            </w:r>
            <w:r w:rsidR="00F00D97">
              <w:rPr>
                <w:b/>
                <w:noProof/>
              </w:rPr>
              <w:t> </w:t>
            </w:r>
            <w:r w:rsidR="00F00D97">
              <w:rPr>
                <w:b/>
              </w:rPr>
              <w:fldChar w:fldCharType="end"/>
            </w:r>
            <w:bookmarkEnd w:id="1"/>
            <w:r w:rsidR="00D94D55">
              <w:rPr>
                <w:b/>
              </w:rPr>
              <w:t xml:space="preserve"> </w:t>
            </w:r>
            <w:r>
              <w:rPr>
                <w:b/>
              </w:rPr>
              <w:t>%</w:t>
            </w:r>
            <w:r w:rsidRPr="00CC133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</w:t>
            </w:r>
            <w:r w:rsidRPr="00CC1338">
              <w:rPr>
                <w:b/>
              </w:rPr>
              <w:t>t</w:t>
            </w:r>
            <w:proofErr w:type="spellEnd"/>
            <w:r w:rsidRPr="00CC1338">
              <w:rPr>
                <w:b/>
              </w:rPr>
              <w:t>.</w:t>
            </w:r>
            <w:r w:rsidR="00FE6488">
              <w:rPr>
                <w:rStyle w:val="Funotenzeichen"/>
                <w:b/>
              </w:rPr>
              <w:footnoteReference w:id="1"/>
            </w:r>
          </w:p>
        </w:tc>
        <w:tc>
          <w:tcPr>
            <w:tcW w:w="4426" w:type="dxa"/>
          </w:tcPr>
          <w:p w14:paraId="3C76D73B" w14:textId="5622320C" w:rsidR="00FE46AA" w:rsidRPr="009B6B6E" w:rsidRDefault="00FE46AA" w:rsidP="000D5E0F">
            <w:pPr>
              <w:spacing w:before="240"/>
              <w:jc w:val="right"/>
              <w:rPr>
                <w:b/>
              </w:rPr>
            </w:pPr>
            <w:r w:rsidRPr="009B6B6E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6B6E">
              <w:rPr>
                <w:b/>
              </w:rPr>
              <w:instrText xml:space="preserve"> FORMTEXT </w:instrText>
            </w:r>
            <w:r w:rsidRPr="009B6B6E">
              <w:rPr>
                <w:b/>
              </w:rPr>
            </w:r>
            <w:r w:rsidRPr="009B6B6E">
              <w:rPr>
                <w:b/>
              </w:rPr>
              <w:fldChar w:fldCharType="separate"/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  <w:noProof/>
              </w:rPr>
              <w:t> </w:t>
            </w:r>
            <w:r w:rsidRPr="009B6B6E">
              <w:rPr>
                <w:b/>
              </w:rPr>
              <w:fldChar w:fldCharType="end"/>
            </w:r>
            <w:r w:rsidR="00D94D55">
              <w:rPr>
                <w:b/>
              </w:rPr>
              <w:t xml:space="preserve"> </w:t>
            </w:r>
            <w:r w:rsidR="00F00D97" w:rsidRPr="009B6B6E">
              <w:rPr>
                <w:b/>
              </w:rPr>
              <w:t>EUR</w:t>
            </w:r>
          </w:p>
        </w:tc>
      </w:tr>
      <w:tr w:rsidR="00FE46AA" w14:paraId="1FEA1E76" w14:textId="77777777" w:rsidTr="000D5E0F">
        <w:tc>
          <w:tcPr>
            <w:tcW w:w="4678" w:type="dxa"/>
          </w:tcPr>
          <w:p w14:paraId="4A791D65" w14:textId="77777777" w:rsidR="00FE46AA" w:rsidRPr="00CC1338" w:rsidRDefault="007C5D00" w:rsidP="00BA6167">
            <w:pPr>
              <w:spacing w:before="240" w:line="480" w:lineRule="auto"/>
              <w:jc w:val="right"/>
              <w:rPr>
                <w:b/>
              </w:rPr>
            </w:pPr>
            <w:r>
              <w:rPr>
                <w:b/>
              </w:rPr>
              <w:t>Stundensatz</w:t>
            </w:r>
            <w:r w:rsidR="00FE46AA" w:rsidRPr="00CC1338">
              <w:rPr>
                <w:b/>
              </w:rPr>
              <w:t xml:space="preserve"> brutto</w:t>
            </w:r>
          </w:p>
        </w:tc>
        <w:tc>
          <w:tcPr>
            <w:tcW w:w="4426" w:type="dxa"/>
          </w:tcPr>
          <w:p w14:paraId="2369763F" w14:textId="692D6539" w:rsidR="00FE46AA" w:rsidRPr="00CC1338" w:rsidRDefault="00FE46AA" w:rsidP="000D5E0F">
            <w:pPr>
              <w:spacing w:before="240"/>
              <w:jc w:val="right"/>
              <w:rPr>
                <w:b/>
              </w:rPr>
            </w:pPr>
            <w:r w:rsidRPr="00CC1338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38">
              <w:rPr>
                <w:b/>
              </w:rPr>
              <w:instrText xml:space="preserve"> FORMTEXT </w:instrText>
            </w:r>
            <w:r w:rsidRPr="00CC1338">
              <w:rPr>
                <w:b/>
              </w:rPr>
            </w:r>
            <w:r w:rsidRPr="00CC1338">
              <w:rPr>
                <w:b/>
              </w:rPr>
              <w:fldChar w:fldCharType="separate"/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</w:rPr>
              <w:fldChar w:fldCharType="end"/>
            </w:r>
            <w:r w:rsidR="00D94D55">
              <w:rPr>
                <w:b/>
              </w:rPr>
              <w:t xml:space="preserve"> </w:t>
            </w:r>
            <w:r w:rsidR="00F00D97">
              <w:rPr>
                <w:b/>
              </w:rPr>
              <w:t>EUR</w:t>
            </w:r>
          </w:p>
        </w:tc>
      </w:tr>
    </w:tbl>
    <w:p w14:paraId="739F6AF5" w14:textId="77777777" w:rsidR="00382EEB" w:rsidRPr="00FF478A" w:rsidRDefault="00382EEB" w:rsidP="002028C5">
      <w:pPr>
        <w:jc w:val="both"/>
        <w:rPr>
          <w:sz w:val="22"/>
          <w:szCs w:val="22"/>
          <w:u w:val="single"/>
        </w:rPr>
      </w:pPr>
    </w:p>
    <w:p w14:paraId="0CF1796C" w14:textId="77777777" w:rsidR="00C332C1" w:rsidRPr="00A0076B" w:rsidRDefault="00C332C1" w:rsidP="00C332C1">
      <w:pPr>
        <w:jc w:val="both"/>
      </w:pPr>
      <w:r>
        <w:rPr>
          <w:rFonts w:cs="Arial"/>
          <w:bCs/>
          <w:i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iCs/>
          <w:sz w:val="20"/>
        </w:rPr>
        <w:instrText xml:space="preserve"> FORMCHECKBOX </w:instrText>
      </w:r>
      <w:r>
        <w:rPr>
          <w:rFonts w:cs="Arial"/>
          <w:bCs/>
          <w:iCs/>
          <w:sz w:val="20"/>
        </w:rPr>
      </w:r>
      <w:r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sz w:val="20"/>
        </w:rPr>
        <w:fldChar w:fldCharType="end"/>
      </w:r>
      <w:r>
        <w:rPr>
          <w:rFonts w:cs="Arial"/>
          <w:bCs/>
          <w:iCs/>
          <w:sz w:val="20"/>
        </w:rPr>
        <w:t xml:space="preserve"> Ich unterliege dem </w:t>
      </w:r>
      <w:r w:rsidRPr="00F16B53">
        <w:rPr>
          <w:rFonts w:cs="Arial"/>
          <w:bCs/>
          <w:iCs/>
          <w:sz w:val="20"/>
        </w:rPr>
        <w:t>Reverse-Charge-Verfahren</w:t>
      </w:r>
      <w:r>
        <w:rPr>
          <w:rFonts w:cs="Arial"/>
          <w:bCs/>
          <w:iCs/>
          <w:sz w:val="20"/>
        </w:rPr>
        <w:t>.</w:t>
      </w:r>
    </w:p>
    <w:p w14:paraId="45D72DE4" w14:textId="77777777" w:rsidR="001375EE" w:rsidRPr="00A0076B" w:rsidRDefault="001375EE" w:rsidP="00A0076B">
      <w:pPr>
        <w:jc w:val="both"/>
      </w:pPr>
    </w:p>
    <w:sectPr w:rsidR="001375EE" w:rsidRPr="00A0076B" w:rsidSect="00382EEB">
      <w:headerReference w:type="default" r:id="rId7"/>
      <w:footerReference w:type="default" r:id="rId8"/>
      <w:pgSz w:w="11906" w:h="16838"/>
      <w:pgMar w:top="1417" w:right="1417" w:bottom="1134" w:left="1417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F781" w14:textId="77777777" w:rsidR="00D24DDB" w:rsidRDefault="00D24DDB" w:rsidP="00CC1338">
      <w:r>
        <w:separator/>
      </w:r>
    </w:p>
  </w:endnote>
  <w:endnote w:type="continuationSeparator" w:id="0">
    <w:p w14:paraId="73187118" w14:textId="77777777" w:rsidR="00D24DDB" w:rsidRDefault="00D24DDB" w:rsidP="00CC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CC1338" w:rsidRPr="003A7C46" w14:paraId="66CF69DD" w14:textId="77777777" w:rsidTr="00E447C6">
      <w:trPr>
        <w:cantSplit/>
      </w:trPr>
      <w:tc>
        <w:tcPr>
          <w:tcW w:w="9214" w:type="dxa"/>
          <w:noWrap/>
          <w:vAlign w:val="center"/>
        </w:tcPr>
        <w:p w14:paraId="48EDD349" w14:textId="77777777" w:rsidR="00CC1338" w:rsidRPr="003A7C46" w:rsidRDefault="006736E8" w:rsidP="00CC1338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3.5</w:t>
          </w:r>
          <w:r w:rsidR="00CC1338" w:rsidRPr="003A7C46">
            <w:rPr>
              <w:rFonts w:cs="Arial"/>
              <w:sz w:val="16"/>
              <w:szCs w:val="16"/>
            </w:rPr>
            <w:t xml:space="preserve"> </w:t>
          </w:r>
          <w:r w:rsidR="001B44D5">
            <w:rPr>
              <w:rFonts w:cs="Arial"/>
              <w:sz w:val="16"/>
              <w:szCs w:val="16"/>
            </w:rPr>
            <w:t>–</w:t>
          </w:r>
          <w:r w:rsidR="001324D9">
            <w:rPr>
              <w:rFonts w:cs="Arial"/>
              <w:sz w:val="16"/>
              <w:szCs w:val="16"/>
            </w:rPr>
            <w:t xml:space="preserve"> </w:t>
          </w:r>
          <w:r w:rsidR="00CC1338">
            <w:rPr>
              <w:rFonts w:cs="Arial"/>
              <w:sz w:val="16"/>
              <w:szCs w:val="16"/>
            </w:rPr>
            <w:t>Preisblatt</w:t>
          </w:r>
          <w:r w:rsidR="001B44D5">
            <w:rPr>
              <w:rFonts w:cs="Arial"/>
              <w:sz w:val="16"/>
              <w:szCs w:val="16"/>
            </w:rPr>
            <w:t xml:space="preserve"> Pauschalpreis</w:t>
          </w:r>
        </w:p>
      </w:tc>
    </w:tr>
    <w:tr w:rsidR="00CC1338" w:rsidRPr="003A7C46" w14:paraId="01881D0C" w14:textId="77777777" w:rsidTr="00E447C6">
      <w:trPr>
        <w:cantSplit/>
      </w:trPr>
      <w:tc>
        <w:tcPr>
          <w:tcW w:w="9214" w:type="dxa"/>
          <w:noWrap/>
          <w:vAlign w:val="center"/>
        </w:tcPr>
        <w:p w14:paraId="3E1D3507" w14:textId="77777777" w:rsidR="00CC1338" w:rsidRPr="00C5061A" w:rsidRDefault="001324D9" w:rsidP="009478EC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C5061A">
            <w:rPr>
              <w:rFonts w:cs="Arial"/>
              <w:sz w:val="16"/>
              <w:szCs w:val="16"/>
            </w:rPr>
            <w:t>La</w:t>
          </w:r>
          <w:r w:rsidR="00FE6488">
            <w:rPr>
              <w:rFonts w:cs="Arial"/>
              <w:sz w:val="16"/>
              <w:szCs w:val="16"/>
            </w:rPr>
            <w:t xml:space="preserve">ndeshauptstadt </w:t>
          </w:r>
          <w:proofErr w:type="gramStart"/>
          <w:r w:rsidR="00FE6488">
            <w:rPr>
              <w:rFonts w:cs="Arial"/>
              <w:sz w:val="16"/>
              <w:szCs w:val="16"/>
            </w:rPr>
            <w:t>Potsdam  Stand</w:t>
          </w:r>
          <w:proofErr w:type="gramEnd"/>
          <w:r w:rsidR="00FE6488">
            <w:rPr>
              <w:rFonts w:cs="Arial"/>
              <w:sz w:val="16"/>
              <w:szCs w:val="16"/>
            </w:rPr>
            <w:t xml:space="preserve"> 0</w:t>
          </w:r>
          <w:r w:rsidR="009478EC">
            <w:rPr>
              <w:rFonts w:cs="Arial"/>
              <w:sz w:val="16"/>
              <w:szCs w:val="16"/>
            </w:rPr>
            <w:t>5</w:t>
          </w:r>
          <w:r w:rsidR="00CC1338" w:rsidRPr="00C5061A">
            <w:rPr>
              <w:rFonts w:cs="Arial"/>
              <w:sz w:val="16"/>
              <w:szCs w:val="16"/>
            </w:rPr>
            <w:t>/20</w:t>
          </w:r>
          <w:r w:rsidR="00027FE8">
            <w:rPr>
              <w:rFonts w:cs="Arial"/>
              <w:sz w:val="16"/>
              <w:szCs w:val="16"/>
            </w:rPr>
            <w:t>2</w:t>
          </w:r>
          <w:r w:rsidR="009478EC">
            <w:rPr>
              <w:rFonts w:cs="Arial"/>
              <w:sz w:val="16"/>
              <w:szCs w:val="16"/>
            </w:rPr>
            <w:t>3</w:t>
          </w:r>
        </w:p>
      </w:tc>
    </w:tr>
  </w:tbl>
  <w:p w14:paraId="5DCEFE1E" w14:textId="77777777" w:rsidR="00CC1338" w:rsidRDefault="00CC13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22FF" w14:textId="77777777" w:rsidR="00D24DDB" w:rsidRDefault="00D24DDB" w:rsidP="00CC1338">
      <w:r>
        <w:separator/>
      </w:r>
    </w:p>
  </w:footnote>
  <w:footnote w:type="continuationSeparator" w:id="0">
    <w:p w14:paraId="0D550CFE" w14:textId="77777777" w:rsidR="00D24DDB" w:rsidRDefault="00D24DDB" w:rsidP="00CC1338">
      <w:r>
        <w:continuationSeparator/>
      </w:r>
    </w:p>
  </w:footnote>
  <w:footnote w:id="1">
    <w:p w14:paraId="1F74F188" w14:textId="77777777" w:rsidR="00FE6488" w:rsidRPr="008217C8" w:rsidRDefault="00FE6488" w:rsidP="00FE6488">
      <w:pPr>
        <w:autoSpaceDE w:val="0"/>
        <w:autoSpaceDN w:val="0"/>
        <w:jc w:val="both"/>
        <w:rPr>
          <w:rFonts w:cs="Arial"/>
          <w:szCs w:val="28"/>
          <w:vertAlign w:val="superscript"/>
        </w:rPr>
      </w:pPr>
      <w:r>
        <w:rPr>
          <w:rStyle w:val="Funotenzeichen"/>
        </w:rPr>
        <w:footnoteRef/>
      </w:r>
      <w:r>
        <w:t xml:space="preserve"> </w:t>
      </w:r>
      <w:r>
        <w:rPr>
          <w:rStyle w:val="Funotenzeichen"/>
        </w:rPr>
        <w:footnoteRef/>
      </w:r>
      <w:r>
        <w:t xml:space="preserve"> </w:t>
      </w:r>
      <w:r w:rsidRPr="0007474A">
        <w:rPr>
          <w:szCs w:val="28"/>
          <w:vertAlign w:val="superscript"/>
        </w:rPr>
        <w:t>Als Bewertungspreis wird der Nettopreis</w:t>
      </w:r>
      <w:r>
        <w:rPr>
          <w:szCs w:val="28"/>
          <w:vertAlign w:val="superscript"/>
        </w:rPr>
        <w:t xml:space="preserve"> zzgl. der </w:t>
      </w:r>
      <w:r w:rsidRPr="008217C8">
        <w:rPr>
          <w:szCs w:val="28"/>
          <w:vertAlign w:val="superscript"/>
        </w:rPr>
        <w:t>zum Zeitpunkt der Leistungserbringung</w:t>
      </w:r>
      <w:r>
        <w:rPr>
          <w:szCs w:val="28"/>
          <w:vertAlign w:val="superscript"/>
        </w:rPr>
        <w:t xml:space="preserve"> </w:t>
      </w:r>
      <w:proofErr w:type="gramStart"/>
      <w:r>
        <w:rPr>
          <w:szCs w:val="28"/>
          <w:vertAlign w:val="superscript"/>
        </w:rPr>
        <w:t>zu zahlenden Umsatzsteuer</w:t>
      </w:r>
      <w:proofErr w:type="gramEnd"/>
      <w:r w:rsidRPr="0007474A">
        <w:rPr>
          <w:szCs w:val="28"/>
          <w:vertAlign w:val="superscript"/>
        </w:rPr>
        <w:t xml:space="preserve"> herangezogen, </w:t>
      </w:r>
      <w:r w:rsidRPr="008217C8">
        <w:rPr>
          <w:szCs w:val="28"/>
          <w:vertAlign w:val="superscript"/>
        </w:rPr>
        <w:t xml:space="preserve">es sei denn, </w:t>
      </w:r>
      <w:r>
        <w:rPr>
          <w:szCs w:val="28"/>
          <w:vertAlign w:val="superscript"/>
        </w:rPr>
        <w:t>es besteht eine Befreiung von der Steuerschuld</w:t>
      </w:r>
      <w:r w:rsidRPr="008217C8">
        <w:rPr>
          <w:szCs w:val="28"/>
          <w:vertAlign w:val="superscript"/>
        </w:rPr>
        <w:t xml:space="preserve"> (z.B. nach § 4 UStG</w:t>
      </w:r>
      <w:r>
        <w:rPr>
          <w:szCs w:val="28"/>
          <w:vertAlign w:val="superscript"/>
        </w:rPr>
        <w:t xml:space="preserve"> oder </w:t>
      </w:r>
      <w:r w:rsidRPr="008217C8">
        <w:rPr>
          <w:szCs w:val="28"/>
          <w:vertAlign w:val="superscript"/>
        </w:rPr>
        <w:t>§ 19 UStG)</w:t>
      </w:r>
      <w:r>
        <w:rPr>
          <w:szCs w:val="28"/>
          <w:vertAlign w:val="superscript"/>
        </w:rPr>
        <w:t xml:space="preserve">. Im Fall des </w:t>
      </w:r>
      <w:r w:rsidRPr="00F16B53">
        <w:rPr>
          <w:szCs w:val="28"/>
          <w:vertAlign w:val="superscript"/>
        </w:rPr>
        <w:t>Reverse-Charge-Verfahren</w:t>
      </w:r>
      <w:r>
        <w:rPr>
          <w:szCs w:val="28"/>
          <w:vertAlign w:val="superscript"/>
        </w:rPr>
        <w:t>s (gemäß § 13 UStG) wird die vom AG zu entrichtende Umsatzsteuer bei der Ermittlung des Bewertungspreises herangezogen.</w:t>
      </w:r>
      <w:r w:rsidRPr="008217C8">
        <w:rPr>
          <w:szCs w:val="28"/>
          <w:vertAlign w:val="superscript"/>
        </w:rPr>
        <w:t xml:space="preserve"> </w:t>
      </w:r>
    </w:p>
    <w:p w14:paraId="64629ECF" w14:textId="77777777" w:rsidR="00FE6488" w:rsidRDefault="00FE648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EA92" w14:textId="17B74C02" w:rsidR="00C4664A" w:rsidRDefault="0046290D" w:rsidP="0046290D">
    <w:pPr>
      <w:pStyle w:val="Kopfzeile"/>
    </w:pPr>
    <w:r>
      <w:tab/>
    </w:r>
    <w:r>
      <w:fldChar w:fldCharType="begin"/>
    </w:r>
    <w:r>
      <w:instrText xml:space="preserve"> PAGE  \* ArabicDash  \* MERGEFORMAT </w:instrText>
    </w:r>
    <w:r>
      <w:fldChar w:fldCharType="separate"/>
    </w:r>
    <w:r w:rsidR="00662C6D">
      <w:rPr>
        <w:noProof/>
      </w:rPr>
      <w:t>- 1 -</w:t>
    </w:r>
    <w:r>
      <w:fldChar w:fldCharType="end"/>
    </w:r>
    <w:r>
      <w:tab/>
    </w:r>
    <w:r w:rsidR="0012238E">
      <w:rPr>
        <w:noProof/>
      </w:rPr>
      <w:drawing>
        <wp:inline distT="0" distB="0" distL="0" distR="0" wp14:anchorId="649896FF" wp14:editId="4CE59AEA">
          <wp:extent cx="2114550" cy="1000125"/>
          <wp:effectExtent l="0" t="0" r="0" b="9525"/>
          <wp:docPr id="1" name="Bild 2" descr="2_Landh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2_Landh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8C5"/>
    <w:rsid w:val="00027FE8"/>
    <w:rsid w:val="00040AEB"/>
    <w:rsid w:val="00084A25"/>
    <w:rsid w:val="000908A2"/>
    <w:rsid w:val="00121A3F"/>
    <w:rsid w:val="0012238E"/>
    <w:rsid w:val="0012271D"/>
    <w:rsid w:val="001324D9"/>
    <w:rsid w:val="001375EE"/>
    <w:rsid w:val="00140CC1"/>
    <w:rsid w:val="00151162"/>
    <w:rsid w:val="00151A74"/>
    <w:rsid w:val="001870D4"/>
    <w:rsid w:val="001B44D5"/>
    <w:rsid w:val="002028C5"/>
    <w:rsid w:val="00253CE2"/>
    <w:rsid w:val="00264934"/>
    <w:rsid w:val="00315FFE"/>
    <w:rsid w:val="00382EEB"/>
    <w:rsid w:val="003B2BC4"/>
    <w:rsid w:val="003F19EF"/>
    <w:rsid w:val="004520F7"/>
    <w:rsid w:val="0045401A"/>
    <w:rsid w:val="0046290D"/>
    <w:rsid w:val="00477A7E"/>
    <w:rsid w:val="004854FB"/>
    <w:rsid w:val="004A14BB"/>
    <w:rsid w:val="004B0049"/>
    <w:rsid w:val="004B3E4B"/>
    <w:rsid w:val="004C6992"/>
    <w:rsid w:val="00581910"/>
    <w:rsid w:val="0063304C"/>
    <w:rsid w:val="006464B2"/>
    <w:rsid w:val="00662C6D"/>
    <w:rsid w:val="006736E8"/>
    <w:rsid w:val="006B2D43"/>
    <w:rsid w:val="0070454E"/>
    <w:rsid w:val="007100CF"/>
    <w:rsid w:val="00741156"/>
    <w:rsid w:val="007A0657"/>
    <w:rsid w:val="007A255E"/>
    <w:rsid w:val="007B47C5"/>
    <w:rsid w:val="007C5D00"/>
    <w:rsid w:val="008A6612"/>
    <w:rsid w:val="008C54AD"/>
    <w:rsid w:val="008E348E"/>
    <w:rsid w:val="008E7FF5"/>
    <w:rsid w:val="008F610D"/>
    <w:rsid w:val="00900C10"/>
    <w:rsid w:val="00902452"/>
    <w:rsid w:val="00905CE7"/>
    <w:rsid w:val="00926C39"/>
    <w:rsid w:val="009478EC"/>
    <w:rsid w:val="00951413"/>
    <w:rsid w:val="00961586"/>
    <w:rsid w:val="0096386F"/>
    <w:rsid w:val="009B6B6E"/>
    <w:rsid w:val="00A0076B"/>
    <w:rsid w:val="00A27C46"/>
    <w:rsid w:val="00A440EA"/>
    <w:rsid w:val="00A926C7"/>
    <w:rsid w:val="00AB541F"/>
    <w:rsid w:val="00AD254D"/>
    <w:rsid w:val="00AD2737"/>
    <w:rsid w:val="00AD635C"/>
    <w:rsid w:val="00B50E95"/>
    <w:rsid w:val="00B64B11"/>
    <w:rsid w:val="00BA6167"/>
    <w:rsid w:val="00BB0BE0"/>
    <w:rsid w:val="00BB2F10"/>
    <w:rsid w:val="00C21752"/>
    <w:rsid w:val="00C26DED"/>
    <w:rsid w:val="00C332C1"/>
    <w:rsid w:val="00C4664A"/>
    <w:rsid w:val="00C5061A"/>
    <w:rsid w:val="00C61F2D"/>
    <w:rsid w:val="00CC1338"/>
    <w:rsid w:val="00CD5375"/>
    <w:rsid w:val="00CF217B"/>
    <w:rsid w:val="00D24DDB"/>
    <w:rsid w:val="00D621C9"/>
    <w:rsid w:val="00D73EFE"/>
    <w:rsid w:val="00D8037D"/>
    <w:rsid w:val="00D94D55"/>
    <w:rsid w:val="00E53E08"/>
    <w:rsid w:val="00EB09A0"/>
    <w:rsid w:val="00EC17A2"/>
    <w:rsid w:val="00EC59F6"/>
    <w:rsid w:val="00ED621F"/>
    <w:rsid w:val="00F00D97"/>
    <w:rsid w:val="00F013FB"/>
    <w:rsid w:val="00FC1267"/>
    <w:rsid w:val="00FC370B"/>
    <w:rsid w:val="00FE438A"/>
    <w:rsid w:val="00FE46AA"/>
    <w:rsid w:val="00FE6488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1CB3"/>
  <w15:docId w15:val="{D4F3B6E4-68D6-455E-BC6D-EBD709A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8C5"/>
    <w:pPr>
      <w:spacing w:after="0" w:line="240" w:lineRule="auto"/>
    </w:pPr>
    <w:rPr>
      <w:rFonts w:cs="Times New Roman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13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1338"/>
    <w:rPr>
      <w:rFonts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C13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338"/>
    <w:rPr>
      <w:rFonts w:cs="Times New Roman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3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38E"/>
    <w:rPr>
      <w:rFonts w:ascii="Tahoma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648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6488"/>
    <w:rPr>
      <w:rFonts w:cs="Times New Roman"/>
      <w:sz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E6488"/>
    <w:rPr>
      <w:vertAlign w:val="superscript"/>
    </w:rPr>
  </w:style>
  <w:style w:type="paragraph" w:styleId="berarbeitung">
    <w:name w:val="Revision"/>
    <w:hidden/>
    <w:uiPriority w:val="99"/>
    <w:semiHidden/>
    <w:rsid w:val="008E7FF5"/>
    <w:pPr>
      <w:spacing w:after="0" w:line="240" w:lineRule="auto"/>
    </w:pPr>
    <w:rPr>
      <w:rFonts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6C6C-054B-484E-95FE-B921E8DE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Potsdam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HieckmannC</dc:creator>
  <cp:lastModifiedBy>Seehaus, Cecilia</cp:lastModifiedBy>
  <cp:revision>15</cp:revision>
  <dcterms:created xsi:type="dcterms:W3CDTF">2026-01-27T15:13:00Z</dcterms:created>
  <dcterms:modified xsi:type="dcterms:W3CDTF">2026-01-30T07:07:00Z</dcterms:modified>
</cp:coreProperties>
</file>