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no' ?><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Relationship Id="rId1" Type="http://schemas.openxmlformats.org/officeDocument/2006/relationships/officeDocument" Target="word/document.xml"></Relationship><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bookmarkStart w:id="0" w:name="_Ref61705698"/>
      <w:bookmarkStart w:id="1" w:name="_Ref143163006"/>
      <w:r>
        <w:t xml:space="preserve">Hinweise: </w:t>
      </w:r>
    </w:p>
    <w:p>
      <w:pPr>
        <w:pStyle w:val="Listenabsatz"/>
        <w:numPr>
          <w:ilvl w:val="0"/>
          <w:numId w:val="47"/>
        </w:numPr>
        <w:spacing w:before="60" w:line="280" w:lineRule="exact"/>
        <w:ind w:left="714" w:hanging="357"/>
        <w:contextualSpacing w:val="0"/>
      </w:pPr>
      <w:r>
        <w:t>Das vorliegende Formular ist von Mitgliedern einer Bietergemeinschaft vorzulegen (vgl. hierzu das Kapitel „Bietergemeinschaften“ im Abschnitt „Bewerbungsbedingungen“).</w:t>
      </w:r>
    </w:p>
    <w:p>
      <w:pPr>
        <w:pStyle w:val="Listenabsatz"/>
        <w:numPr>
          <w:ilvl w:val="0"/>
          <w:numId w:val="47"/>
        </w:numPr>
        <w:spacing w:before="60" w:line="280" w:lineRule="exact"/>
        <w:ind w:left="714" w:hanging="357"/>
        <w:contextualSpacing w:val="0"/>
      </w:pPr>
      <w:r>
        <w:t>Das vorliegende Formular ist außerdem für die vom Bieter benannten Unterauftragnehmer vorzulegen (vgl. hierzu das Kapitel „Unteraufträge“ im Abschnitt „Bewerbungsbedingungen“).</w:t>
      </w:r>
    </w:p>
    <w:p>
      <w:pPr>
        <w:pStyle w:val="berschrift1"/>
        <w:numPr>
          <w:ilvl w:val="0"/>
          <w:numId w:val="39"/>
        </w:numPr>
      </w:pPr>
      <w:r>
        <w:t>Angaben zum Vergabeverfahren</w:t>
      </w:r>
    </w:p>
    <w:tbl>
      <w:tblPr>
        <w:tblStyle w:val="Tabellenraster"/>
        <w:tblW w:w="9185" w:type="dxa"/>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ayout w:type="fixed"/>
        <w:tblLook w:val="04A0" w:firstRow="1" w:lastRow="0" w:firstColumn="1" w:lastColumn="0" w:noHBand="0" w:noVBand="1"/>
      </w:tblPr>
      <w:tblGrid>
        <w:gridCol w:w="4651"/>
        <w:gridCol w:w="4534"/>
      </w:tblGrid>
      <w:tr>
        <w:trPr>
          <w:cantSplit/>
        </w:trPr>
        <w:tc>
          <w:tcPr>
            <w:tcW w:w="4651" w:type="dxa"/>
          </w:tcPr>
          <w:p>
            <w:pPr>
              <w:pStyle w:val="Tabelle"/>
              <w:rPr>
                <w:rFonts w:asciiTheme="minorHAnsi" w:hAnsiTheme="minorHAnsi"/>
              </w:rPr>
            </w:pPr>
            <w:r>
              <w:rPr>
                <w:rFonts w:asciiTheme="minorHAnsi" w:hAnsiTheme="minorHAnsi"/>
              </w:rPr>
              <w:t>Bezeichnung des Vergabeverfahrens:</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Aktenzeichen beim Auftraggeber:</w:t>
            </w:r>
          </w:p>
        </w:tc>
        <w:tc>
          <w:tcPr>
            <w:tcW w:w="4534" w:type="dxa"/>
          </w:tcPr>
          <w:p>
            <w:pPr>
              <w:pStyle w:val="Tabelle"/>
              <w:rPr>
                <w:rFonts w:asciiTheme="minorHAnsi" w:hAnsiTheme="minorHAnsi"/>
                <w:u w:val="single"/>
              </w:rPr>
            </w:pPr>
            <w:r>
              <w:rPr>
                <w:rFonts w:asciiTheme="minorHAnsi" w:hAnsiTheme="minorHAnsi"/>
              </w:rPr>
              <w:t xml:space="preserve">BUL </w:t>
            </w: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fldChar w:fldCharType="end"/>
            </w:r>
          </w:p>
        </w:tc>
      </w:tr>
    </w:tbl>
    <w:p>
      <w:pPr>
        <w:pStyle w:val="berschrift1"/>
      </w:pPr>
      <w:r>
        <w:t xml:space="preserve">Angaben zum </w:t>
      </w:r>
      <w:bookmarkEnd w:id="0"/>
      <w:bookmarkEnd w:id="1"/>
      <w:r>
        <w:t>Wirtschaftsteilnehmer</w:t>
      </w:r>
    </w:p>
    <w:tbl>
      <w:tblPr>
        <w:tblStyle w:val="Tabellenraster"/>
        <w:tblW w:w="9185" w:type="dxa"/>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ayout w:type="fixed"/>
        <w:tblLook w:val="04A0" w:firstRow="1" w:lastRow="0" w:firstColumn="1" w:lastColumn="0" w:noHBand="0" w:noVBand="1"/>
      </w:tblPr>
      <w:tblGrid>
        <w:gridCol w:w="4651"/>
        <w:gridCol w:w="4534"/>
      </w:tblGrid>
      <w:tr>
        <w:trPr>
          <w:cantSplit/>
        </w:trPr>
        <w:tc>
          <w:tcPr>
            <w:tcW w:w="4651" w:type="dxa"/>
          </w:tcPr>
          <w:p>
            <w:pPr>
              <w:pStyle w:val="Tabelle"/>
              <w:rPr>
                <w:rFonts w:asciiTheme="minorHAnsi" w:hAnsiTheme="minorHAnsi"/>
              </w:rPr>
            </w:pPr>
            <w:r>
              <w:rPr>
                <w:rFonts w:asciiTheme="minorHAnsi" w:hAnsiTheme="minorHAnsi"/>
              </w:rPr>
              <w:t>Name des Wirtschaftsteilnehmers:</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Rechtsform:</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 xml:space="preserve">Postanschrift (Straße und Hausnummer): </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PLZ und Ort:</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Land:</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Kontaktperson(en):</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E-Mail:</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Registergericht:</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Registernummer:</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lastRenderedPageBreak/>
              <w:t>Ggf. Umsatzsteuer-Identifikationsnummer:</w:t>
            </w:r>
            <w:r>
              <w:rPr>
                <w:rFonts w:asciiTheme="minorHAnsi" w:hAnsiTheme="minorHAnsi"/>
              </w:rPr>
              <w:br/>
              <w:t>(wurde keine Umsatzsteuer-Identifikationsnummer erteilt, geben Sie bitte falls vorhanden eine andere nationale Identifikationsnummer an):</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bl>
    <w:p>
      <w:pPr>
        <w:pStyle w:val="berschrift1"/>
      </w:pPr>
      <w:r>
        <w:t>Ausschlussgründe</w:t>
      </w:r>
    </w:p>
    <w:p>
      <w:pPr>
        <w:keepNext/>
        <w:keepLines/>
        <w:rPr>
          <w:rFonts w:cstheme="minorHAnsi"/>
        </w:rPr>
      </w:pPr>
      <w:r>
        <w:rPr>
          <w:rFonts w:cstheme="minorHAnsi"/>
        </w:rPr>
        <w:t>Liegt einer der im Folgenden dargestellten 16 Ausschlussgründe vor?</w:t>
      </w:r>
    </w:p>
    <w:p>
      <w:pPr>
        <w:pStyle w:val="Bieterangabe"/>
        <w:keepNext/>
        <w:keepLines/>
      </w:pPr>
      <w:sdt>
        <w:sdtPr>
          <w:id w:val="-16073496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r>
        <w:tab/>
      </w:r>
      <w:sdt>
        <w:sdtPr>
          <w:id w:val="32101903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p>
      <w:pPr>
        <w:pStyle w:val="Bieterangabe"/>
        <w:keepNext/>
        <w:keepLines/>
        <w:rPr>
          <w:rFonts w:cstheme="minorHAnsi"/>
        </w:rPr>
      </w:pPr>
      <w:r>
        <w:rPr>
          <w:rFonts w:cstheme="minorHAnsi"/>
        </w:rPr>
        <w:t>Falls ja: Füllen Sie das Formular „Erweiterte Eigenerklärung“ aus und legen Sie es bei.</w:t>
      </w:r>
    </w:p>
    <w:tbl>
      <w:tblPr>
        <w:tblStyle w:val="Tabellenraster"/>
        <w:tblW w:w="9356" w:type="dxa"/>
        <w:tblInd w:w="-142" w:type="dxa"/>
        <w:tblBorders>
          <w:insideH w:val="none" w:sz="0" w:space="0" w:color="auto"/>
          <w:insideV w:val="none" w:sz="0" w:space="0" w:color="auto"/>
        </w:tblBorders>
        <w:tblLook w:val="04A0" w:firstRow="1" w:lastRow="0" w:firstColumn="1" w:lastColumn="0" w:noHBand="0" w:noVBand="1"/>
      </w:tblPr>
      <w:tblGrid>
        <w:gridCol w:w="1276"/>
        <w:gridCol w:w="8080"/>
      </w:tblGrid>
      <w:tr>
        <w:trPr>
          <w:cantSplit/>
        </w:trPr>
        <w:tc>
          <w:tcPr>
            <w:tcW w:w="9356" w:type="dxa"/>
            <w:gridSpan w:val="2"/>
            <w:tcBorders>
              <w:top w:val="nil"/>
              <w:left w:val="nil"/>
              <w:bottom w:val="nil"/>
              <w:right w:val="nil"/>
            </w:tcBorders>
          </w:tcPr>
          <w:p>
            <w:pPr>
              <w:keepNext/>
              <w:spacing w:before="40" w:after="40" w:line="276" w:lineRule="auto"/>
              <w:rPr>
                <w:rFonts w:asciiTheme="minorHAnsi" w:hAnsiTheme="minorHAnsi" w:cstheme="minorHAnsi"/>
                <w:b/>
                <w:sz w:val="22"/>
              </w:rPr>
            </w:pPr>
            <w:r>
              <w:rPr>
                <w:rFonts w:asciiTheme="minorHAnsi" w:hAnsiTheme="minorHAnsi" w:cstheme="minorHAnsi"/>
                <w:b/>
                <w:sz w:val="22"/>
              </w:rPr>
              <w:t>Gründe im Zusammenhang mit einer strafrechtlichen Verurteilung:</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Ist der Wirtschaftsteilnehmer selbst oder eine Person, die seinem Verwaltungs-, Leitungs- oder Aufsichtsgremium angehört oder darin Vertretungs-, Entscheidungs- oder Kontrollbefugnisse hat, aus einem in § 123 Abs. 1 GWB genannten Grund </w:t>
            </w:r>
            <w:r>
              <w:rPr>
                <w:rFonts w:asciiTheme="minorHAnsi" w:hAnsiTheme="minorHAnsi" w:cstheme="minorHAnsi"/>
                <w:b/>
                <w:sz w:val="22"/>
              </w:rPr>
              <w:t>rechtskräftig verurteilt</w:t>
            </w:r>
            <w:r>
              <w:rPr>
                <w:rFonts w:asciiTheme="minorHAnsi" w:hAnsiTheme="minorHAnsi" w:cstheme="minorHAnsi"/>
                <w:sz w:val="22"/>
              </w:rPr>
              <w:t xml:space="preserve"> worden, oder wurde gegen den Wirtschaftsteilnehmer eine Geldbuße nach § 30 OWiG rechtskräftig festgesetzt, worden, wobei die rechtskräftige Verurteilung höchstens fünf Jahre zurückliegt, oder ein unmittelbar im rechtskräftigen Urteil festgelegter Ausschlusszeitraum noch nicht verstrichen ist?</w:t>
            </w:r>
          </w:p>
        </w:tc>
      </w:tr>
      <w:tr>
        <w:trPr>
          <w:cantSplit/>
        </w:trPr>
        <w:tc>
          <w:tcPr>
            <w:tcW w:w="9356" w:type="dxa"/>
            <w:gridSpan w:val="2"/>
            <w:tcBorders>
              <w:top w:val="nil"/>
              <w:left w:val="nil"/>
              <w:bottom w:val="nil"/>
              <w:right w:val="nil"/>
            </w:tcBorders>
          </w:tcPr>
          <w:p>
            <w:pPr>
              <w:spacing w:before="40" w:after="40" w:line="276" w:lineRule="auto"/>
              <w:rPr>
                <w:rFonts w:asciiTheme="minorHAnsi" w:hAnsiTheme="minorHAnsi" w:cstheme="minorHAnsi"/>
                <w:b/>
                <w:sz w:val="22"/>
                <w:szCs w:val="18"/>
              </w:rPr>
            </w:pPr>
            <w:r>
              <w:rPr>
                <w:rFonts w:asciiTheme="minorHAnsi" w:hAnsiTheme="minorHAnsi" w:cstheme="minorHAnsi"/>
                <w:b/>
                <w:sz w:val="22"/>
              </w:rPr>
              <w:t>Gründe im Zusammenhang mit der Entrichtung von Steuern oder Sozialversicherungsbeiträgen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2</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Ist der Wirtschaftsteilnehmer </w:t>
            </w:r>
            <w:r>
              <w:rPr>
                <w:rFonts w:asciiTheme="minorHAnsi" w:hAnsiTheme="minorHAnsi" w:cstheme="minorHAnsi"/>
                <w:b/>
                <w:sz w:val="22"/>
              </w:rPr>
              <w:t>nicht allen</w:t>
            </w:r>
            <w:r>
              <w:rPr>
                <w:rFonts w:asciiTheme="minorHAnsi" w:hAnsiTheme="minorHAnsi" w:cstheme="minorHAnsi"/>
                <w:sz w:val="22"/>
              </w:rPr>
              <w:t xml:space="preserve"> </w:t>
            </w:r>
            <w:r>
              <w:rPr>
                <w:rFonts w:asciiTheme="minorHAnsi" w:hAnsiTheme="minorHAnsi" w:cstheme="minorHAnsi"/>
                <w:b/>
                <w:sz w:val="22"/>
              </w:rPr>
              <w:t>seinen Verpflichtungen</w:t>
            </w:r>
            <w:r>
              <w:rPr>
                <w:rFonts w:asciiTheme="minorHAnsi" w:hAnsiTheme="minorHAnsi" w:cstheme="minorHAnsi"/>
                <w:sz w:val="22"/>
              </w:rPr>
              <w:t xml:space="preserve"> zur Zahlung von </w:t>
            </w:r>
            <w:r>
              <w:rPr>
                <w:rFonts w:asciiTheme="minorHAnsi" w:hAnsiTheme="minorHAnsi" w:cstheme="minorHAnsi"/>
                <w:b/>
                <w:sz w:val="22"/>
              </w:rPr>
              <w:t>Steuern, Abgaben oder Beiträgen zur Sozialversicherung</w:t>
            </w:r>
            <w:r>
              <w:rPr>
                <w:rFonts w:asciiTheme="minorHAnsi" w:hAnsiTheme="minorHAnsi" w:cstheme="minorHAnsi"/>
                <w:sz w:val="22"/>
              </w:rPr>
              <w:t xml:space="preserve"> sowohl in seinem Niederlassungsstaat als auch in dem Mitgliedstaat des öffentlichen Auftraggebers – sofern es sich um einen anderen Staat als den Niederlassungsstaat handelt – </w:t>
            </w:r>
            <w:r>
              <w:rPr>
                <w:rFonts w:asciiTheme="minorHAnsi" w:hAnsiTheme="minorHAnsi" w:cstheme="minorHAnsi"/>
                <w:b/>
                <w:sz w:val="22"/>
              </w:rPr>
              <w:t>nachgekommen?</w:t>
            </w:r>
          </w:p>
        </w:tc>
      </w:tr>
      <w:tr>
        <w:trPr>
          <w:cantSplit/>
        </w:trPr>
        <w:tc>
          <w:tcPr>
            <w:tcW w:w="9356" w:type="dxa"/>
            <w:gridSpan w:val="2"/>
            <w:tcBorders>
              <w:top w:val="nil"/>
              <w:left w:val="nil"/>
              <w:bottom w:val="nil"/>
              <w:right w:val="nil"/>
            </w:tcBorders>
          </w:tcPr>
          <w:p>
            <w:pPr>
              <w:keepNext/>
              <w:spacing w:before="40" w:after="40" w:line="276" w:lineRule="auto"/>
              <w:rPr>
                <w:rFonts w:asciiTheme="minorHAnsi" w:hAnsiTheme="minorHAnsi" w:cstheme="minorHAnsi"/>
                <w:b/>
                <w:sz w:val="22"/>
              </w:rPr>
            </w:pPr>
            <w:r>
              <w:rPr>
                <w:rFonts w:asciiTheme="minorHAnsi" w:hAnsiTheme="minorHAnsi" w:cstheme="minorHAnsi"/>
                <w:b/>
                <w:sz w:val="22"/>
              </w:rPr>
              <w:t>Gründe im Zusammenhang mit Insolvenz, Interessenkonflikten oder beruflichem Fehlverhalten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3</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Wirtschaftsteilnehmer </w:t>
            </w:r>
            <w:r>
              <w:rPr>
                <w:rFonts w:asciiTheme="minorHAnsi" w:hAnsiTheme="minorHAnsi" w:cstheme="minorHAnsi"/>
                <w:b/>
                <w:sz w:val="22"/>
              </w:rPr>
              <w:t>gegen</w:t>
            </w:r>
            <w:r>
              <w:rPr>
                <w:rFonts w:asciiTheme="minorHAnsi" w:hAnsiTheme="minorHAnsi" w:cstheme="minorHAnsi"/>
                <w:sz w:val="22"/>
              </w:rPr>
              <w:t xml:space="preserve"> umwelt-, sozial- und arbeitsrechtlichen </w:t>
            </w:r>
            <w:r>
              <w:rPr>
                <w:rFonts w:asciiTheme="minorHAnsi" w:hAnsiTheme="minorHAnsi" w:cstheme="minorHAnsi"/>
                <w:b/>
                <w:sz w:val="22"/>
              </w:rPr>
              <w:t>Verpflichtungen verstoßen?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4</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Ist der Wirtschaftsteilnehmer</w:t>
            </w:r>
            <w:r>
              <w:rPr>
                <w:rFonts w:asciiTheme="minorHAnsi" w:hAnsiTheme="minorHAnsi" w:cstheme="minorHAnsi"/>
                <w:b/>
                <w:sz w:val="22"/>
              </w:rPr>
              <w:t xml:space="preserve"> zahlungsunfähig</w:t>
            </w:r>
            <w:r>
              <w:rPr>
                <w:rFonts w:asciiTheme="minorHAnsi" w:hAnsiTheme="minorHAnsi" w:cstheme="minorHAnsi"/>
                <w:sz w:val="22"/>
              </w:rPr>
              <w:t>, oder ist über das Vermögen des Wirtschaftsteilnehmers ein Insolvenzverfahren oder ein vergleichbares Verfahren beantragt oder eröffnet worden, oder ist die Eröffnung eines solchen Verfahrens mangels Masse abgelehnt worden oder befindet sich der Wirtschaftsteilnehmer im Verfahren der Liquidation oder hat er seine Tätigkeit eingestellt?</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5</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Wirtschaftsteilnehmer im Rahmen seiner beruflichen Tätigkeit eine </w:t>
            </w:r>
            <w:r>
              <w:rPr>
                <w:rFonts w:asciiTheme="minorHAnsi" w:hAnsiTheme="minorHAnsi" w:cstheme="minorHAnsi"/>
                <w:b/>
                <w:sz w:val="22"/>
              </w:rPr>
              <w:t>schwere Verfehlung</w:t>
            </w:r>
            <w:r>
              <w:rPr>
                <w:rFonts w:asciiTheme="minorHAnsi" w:hAnsiTheme="minorHAnsi" w:cstheme="minorHAnsi"/>
                <w:sz w:val="22"/>
              </w:rPr>
              <w:t xml:space="preserve"> begangen?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lastRenderedPageBreak/>
              <w:t>Grund 6</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Wirtschaftsteilnehmer mit anderen Unternehmen </w:t>
            </w:r>
            <w:r>
              <w:rPr>
                <w:rFonts w:asciiTheme="minorHAnsi" w:hAnsiTheme="minorHAnsi" w:cstheme="minorHAnsi"/>
                <w:b/>
                <w:sz w:val="22"/>
              </w:rPr>
              <w:t xml:space="preserve">Vereinbarungen </w:t>
            </w:r>
            <w:r>
              <w:rPr>
                <w:rFonts w:asciiTheme="minorHAnsi" w:hAnsiTheme="minorHAnsi" w:cstheme="minorHAnsi"/>
                <w:sz w:val="22"/>
              </w:rPr>
              <w:t xml:space="preserve">getroffen oder Verhaltensweisen aufeinander abgestimmt, </w:t>
            </w:r>
            <w:r>
              <w:rPr>
                <w:rFonts w:asciiTheme="minorHAnsi" w:hAnsiTheme="minorHAnsi" w:cstheme="minorHAnsi"/>
                <w:b/>
                <w:sz w:val="22"/>
              </w:rPr>
              <w:t>die eine Verhinderung</w:t>
            </w:r>
            <w:r>
              <w:rPr>
                <w:rFonts w:asciiTheme="minorHAnsi" w:hAnsiTheme="minorHAnsi" w:cstheme="minorHAnsi"/>
                <w:sz w:val="22"/>
              </w:rPr>
              <w:t xml:space="preserve">, Einschränkung oder Verfälschung </w:t>
            </w:r>
            <w:r>
              <w:rPr>
                <w:rFonts w:asciiTheme="minorHAnsi" w:hAnsiTheme="minorHAnsi" w:cstheme="minorHAnsi"/>
                <w:b/>
                <w:sz w:val="22"/>
              </w:rPr>
              <w:t>des Wettbewerbs bezwecken</w:t>
            </w:r>
            <w:r>
              <w:rPr>
                <w:rFonts w:asciiTheme="minorHAnsi" w:hAnsiTheme="minorHAnsi" w:cstheme="minorHAnsi"/>
                <w:sz w:val="22"/>
              </w:rPr>
              <w:t xml:space="preserve"> oder bewirken?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7</w:t>
            </w:r>
          </w:p>
        </w:tc>
        <w:tc>
          <w:tcPr>
            <w:tcW w:w="8080" w:type="dxa"/>
            <w:tcBorders>
              <w:top w:val="nil"/>
              <w:left w:val="nil"/>
              <w:bottom w:val="nil"/>
              <w:right w:val="nil"/>
            </w:tcBorders>
          </w:tcPr>
          <w:p>
            <w:pPr>
              <w:spacing w:before="40" w:after="40" w:line="276" w:lineRule="auto"/>
              <w:rPr>
                <w:rFonts w:asciiTheme="minorHAnsi" w:hAnsiTheme="minorHAnsi" w:cstheme="minorHAnsi"/>
                <w:sz w:val="22"/>
                <w:highlight w:val="yellow"/>
              </w:rPr>
            </w:pPr>
            <w:r>
              <w:rPr>
                <w:rFonts w:asciiTheme="minorHAnsi" w:hAnsiTheme="minorHAnsi" w:cstheme="minorHAnsi"/>
                <w:sz w:val="22"/>
              </w:rPr>
              <w:t xml:space="preserve">Sieht der Wirtschaftsteilnehmer einen </w:t>
            </w:r>
            <w:r>
              <w:rPr>
                <w:rFonts w:asciiTheme="minorHAnsi" w:hAnsiTheme="minorHAnsi" w:cstheme="minorHAnsi"/>
                <w:b/>
                <w:sz w:val="22"/>
              </w:rPr>
              <w:t xml:space="preserve">Interessenkonflikt </w:t>
            </w:r>
            <w:r>
              <w:rPr>
                <w:rFonts w:asciiTheme="minorHAnsi" w:hAnsiTheme="minorHAnsi" w:cstheme="minorHAnsi"/>
                <w:sz w:val="22"/>
              </w:rPr>
              <w:t>aufgrund seiner Teilnahme an dem Vergabeverfahren?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8</w:t>
            </w:r>
          </w:p>
        </w:tc>
        <w:tc>
          <w:tcPr>
            <w:tcW w:w="8080" w:type="dxa"/>
            <w:tcBorders>
              <w:top w:val="nil"/>
              <w:left w:val="nil"/>
              <w:bottom w:val="nil"/>
              <w:right w:val="nil"/>
            </w:tcBorders>
          </w:tcPr>
          <w:p>
            <w:pPr>
              <w:spacing w:before="40" w:after="40" w:line="276" w:lineRule="auto"/>
              <w:rPr>
                <w:rFonts w:asciiTheme="minorHAnsi" w:hAnsiTheme="minorHAnsi" w:cstheme="minorHAnsi"/>
                <w:sz w:val="22"/>
                <w:highlight w:val="yellow"/>
              </w:rPr>
            </w:pPr>
            <w:r>
              <w:rPr>
                <w:rFonts w:asciiTheme="minorHAnsi" w:hAnsiTheme="minorHAnsi" w:cstheme="minorHAnsi"/>
                <w:sz w:val="22"/>
              </w:rPr>
              <w:t xml:space="preserve">Hat der Wirtschaftsteilnehmer oder ein mit ihm in Verbindung stehendes Unternehmen </w:t>
            </w:r>
            <w:r>
              <w:rPr>
                <w:rFonts w:asciiTheme="minorHAnsi" w:hAnsiTheme="minorHAnsi" w:cstheme="minorHAnsi"/>
                <w:b/>
                <w:sz w:val="22"/>
              </w:rPr>
              <w:t>den öffentlichen Auftraggeber</w:t>
            </w:r>
            <w:r>
              <w:rPr>
                <w:rFonts w:asciiTheme="minorHAnsi" w:hAnsiTheme="minorHAnsi" w:cstheme="minorHAnsi"/>
                <w:sz w:val="22"/>
              </w:rPr>
              <w:t xml:space="preserve"> </w:t>
            </w:r>
            <w:r>
              <w:rPr>
                <w:rFonts w:asciiTheme="minorHAnsi" w:hAnsiTheme="minorHAnsi" w:cstheme="minorHAnsi"/>
                <w:b/>
                <w:sz w:val="22"/>
              </w:rPr>
              <w:t>beraten</w:t>
            </w:r>
            <w:r>
              <w:rPr>
                <w:rFonts w:asciiTheme="minorHAnsi" w:hAnsiTheme="minorHAnsi" w:cstheme="minorHAnsi"/>
                <w:sz w:val="22"/>
              </w:rPr>
              <w:t xml:space="preserve"> oder war er auf andere Art und Weise </w:t>
            </w:r>
            <w:r>
              <w:rPr>
                <w:rFonts w:asciiTheme="minorHAnsi" w:hAnsiTheme="minorHAnsi" w:cstheme="minorHAnsi"/>
                <w:b/>
                <w:sz w:val="22"/>
              </w:rPr>
              <w:t>an der Vorbereitung</w:t>
            </w:r>
            <w:r>
              <w:rPr>
                <w:rFonts w:asciiTheme="minorHAnsi" w:hAnsiTheme="minorHAnsi" w:cstheme="minorHAnsi"/>
                <w:sz w:val="22"/>
              </w:rPr>
              <w:t xml:space="preserve"> des Vergabeverfahrens </w:t>
            </w:r>
            <w:r>
              <w:rPr>
                <w:rFonts w:asciiTheme="minorHAnsi" w:hAnsiTheme="minorHAnsi" w:cstheme="minorHAnsi"/>
                <w:b/>
                <w:sz w:val="22"/>
              </w:rPr>
              <w:t>beteiligt</w:t>
            </w:r>
            <w:r>
              <w:rPr>
                <w:rFonts w:asciiTheme="minorHAnsi" w:hAnsiTheme="minorHAnsi" w:cstheme="minorHAnsi"/>
                <w:sz w:val="22"/>
              </w:rPr>
              <w:t>?</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9</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Wurde </w:t>
            </w:r>
            <w:r>
              <w:rPr>
                <w:rFonts w:asciiTheme="minorHAnsi" w:hAnsiTheme="minorHAnsi" w:cstheme="minorHAnsi"/>
                <w:b/>
                <w:sz w:val="22"/>
              </w:rPr>
              <w:t>in der Vergangenheit ein zwischen dem Wirtschaftsteilnehmer und einem öffentlichen Auftraggeber</w:t>
            </w:r>
            <w:r>
              <w:rPr>
                <w:rFonts w:asciiTheme="minorHAnsi" w:hAnsiTheme="minorHAnsi" w:cstheme="minorHAnsi"/>
                <w:sz w:val="22"/>
              </w:rPr>
              <w:t xml:space="preserve"> oder Sektorenauftraggeber </w:t>
            </w:r>
            <w:r>
              <w:rPr>
                <w:rFonts w:asciiTheme="minorHAnsi" w:hAnsiTheme="minorHAnsi" w:cstheme="minorHAnsi"/>
                <w:b/>
                <w:sz w:val="22"/>
              </w:rPr>
              <w:t>geschlossener Vertrag</w:t>
            </w:r>
            <w:r>
              <w:rPr>
                <w:rFonts w:asciiTheme="minorHAnsi" w:hAnsiTheme="minorHAnsi" w:cstheme="minorHAnsi"/>
                <w:sz w:val="22"/>
              </w:rPr>
              <w:t xml:space="preserve"> über die Vergabe eines öffentlichen Auftrags oder einer Konzession </w:t>
            </w:r>
            <w:r>
              <w:rPr>
                <w:rFonts w:asciiTheme="minorHAnsi" w:hAnsiTheme="minorHAnsi" w:cstheme="minorHAnsi"/>
                <w:b/>
                <w:sz w:val="22"/>
              </w:rPr>
              <w:t>vorzeitig beendigt</w:t>
            </w:r>
            <w:r>
              <w:rPr>
                <w:rFonts w:asciiTheme="minorHAnsi" w:hAnsiTheme="minorHAnsi" w:cstheme="minorHAnsi"/>
                <w:sz w:val="22"/>
              </w:rPr>
              <w:t xml:space="preserve"> oder hat ein entsprechender früherer Auftrag Schadenersatz oder andere vergleichbare Sanktionen nach sich gezogen?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10</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Wirtschaftsteilnehmer versucht, die Entscheidungsfindung des öffentlichen Auftraggebers </w:t>
            </w:r>
            <w:r>
              <w:rPr>
                <w:rFonts w:asciiTheme="minorHAnsi" w:hAnsiTheme="minorHAnsi" w:cstheme="minorHAnsi"/>
                <w:b/>
                <w:sz w:val="22"/>
              </w:rPr>
              <w:t>in unzulässiger Weise zu beeinflussen</w:t>
            </w:r>
            <w:r>
              <w:rPr>
                <w:rFonts w:asciiTheme="minorHAnsi" w:hAnsiTheme="minorHAnsi" w:cstheme="minorHAnsi"/>
                <w:sz w:val="22"/>
              </w:rPr>
              <w:t>?</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11</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Wirtschaftsteilnehmer </w:t>
            </w:r>
            <w:r>
              <w:rPr>
                <w:rFonts w:asciiTheme="minorHAnsi" w:hAnsiTheme="minorHAnsi" w:cstheme="minorHAnsi"/>
                <w:b/>
                <w:sz w:val="22"/>
              </w:rPr>
              <w:t>versucht, vertrauliche Informationen zu erhalten</w:t>
            </w:r>
            <w:r>
              <w:rPr>
                <w:rFonts w:asciiTheme="minorHAnsi" w:hAnsiTheme="minorHAnsi" w:cstheme="minorHAnsi"/>
                <w:sz w:val="22"/>
              </w:rPr>
              <w:t>, durch die er unzulässige Vorteile beim Vergabeverfahren erlangen könnte?</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12</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Wirtschaftsteilnehmer fahrlässig oder vorsätzlich </w:t>
            </w:r>
            <w:r>
              <w:rPr>
                <w:rFonts w:asciiTheme="minorHAnsi" w:hAnsiTheme="minorHAnsi" w:cstheme="minorHAnsi"/>
                <w:b/>
                <w:sz w:val="22"/>
              </w:rPr>
              <w:t>irreführende Informationen</w:t>
            </w:r>
            <w:r>
              <w:rPr>
                <w:rFonts w:asciiTheme="minorHAnsi" w:hAnsiTheme="minorHAnsi" w:cstheme="minorHAnsi"/>
                <w:sz w:val="22"/>
              </w:rPr>
              <w:t xml:space="preserve"> übermittelt, die die Vergabeentscheidung des öffentlichen Auftraggebers erheblich beeinflussen könnten, oder hat er versucht, solche Informationen zu übermitteln?</w:t>
            </w:r>
          </w:p>
        </w:tc>
      </w:tr>
      <w:tr>
        <w:trPr>
          <w:cantSplit/>
        </w:trPr>
        <w:tc>
          <w:tcPr>
            <w:tcW w:w="9356" w:type="dxa"/>
            <w:gridSpan w:val="2"/>
            <w:tcBorders>
              <w:top w:val="nil"/>
              <w:left w:val="nil"/>
              <w:bottom w:val="nil"/>
              <w:right w:val="nil"/>
            </w:tcBorders>
          </w:tcPr>
          <w:p>
            <w:pPr>
              <w:keepNext/>
              <w:spacing w:before="40" w:after="40" w:line="276" w:lineRule="auto"/>
              <w:rPr>
                <w:rFonts w:asciiTheme="minorHAnsi" w:hAnsiTheme="minorHAnsi" w:cstheme="minorHAnsi"/>
                <w:b/>
                <w:sz w:val="22"/>
              </w:rPr>
            </w:pPr>
            <w:r>
              <w:rPr>
                <w:rFonts w:asciiTheme="minorHAnsi" w:hAnsiTheme="minorHAnsi" w:cstheme="minorHAnsi"/>
                <w:b/>
                <w:sz w:val="22"/>
              </w:rPr>
              <w:t>Sonstige Ausschlussgründe, die in innerstaatlichen Rechtsvorschriften vorgesehen sind</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13</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Wurde der Wirtschaftsteilnehmer oder dessen nach Satzung oder Gesetz Vertretungsberechtigter </w:t>
            </w:r>
            <w:r>
              <w:rPr>
                <w:rFonts w:asciiTheme="minorHAnsi" w:hAnsiTheme="minorHAnsi" w:cstheme="minorHAnsi"/>
                <w:b/>
                <w:sz w:val="22"/>
              </w:rPr>
              <w:t>nach</w:t>
            </w:r>
            <w:r>
              <w:rPr>
                <w:rFonts w:asciiTheme="minorHAnsi" w:hAnsiTheme="minorHAnsi" w:cstheme="minorHAnsi"/>
                <w:sz w:val="22"/>
              </w:rPr>
              <w:t xml:space="preserve"> § 404 Abs. 2 Nr. 3 des </w:t>
            </w:r>
            <w:r>
              <w:rPr>
                <w:rFonts w:asciiTheme="minorHAnsi" w:hAnsiTheme="minorHAnsi" w:cstheme="minorHAnsi"/>
                <w:b/>
                <w:sz w:val="22"/>
              </w:rPr>
              <w:t>SGB III</w:t>
            </w:r>
            <w:r>
              <w:rPr>
                <w:rFonts w:asciiTheme="minorHAnsi" w:hAnsiTheme="minorHAnsi" w:cstheme="minorHAnsi"/>
                <w:sz w:val="22"/>
              </w:rPr>
              <w:t xml:space="preserve"> mit einer Geldbuße von wenigstens 2 500 EUR rechtskräftigt belegt oder nach den §§ 10, 10a </w:t>
            </w:r>
            <w:r>
              <w:rPr>
                <w:rFonts w:asciiTheme="minorHAnsi" w:hAnsiTheme="minorHAnsi" w:cstheme="minorHAnsi"/>
                <w:b/>
                <w:sz w:val="22"/>
              </w:rPr>
              <w:t>oder</w:t>
            </w:r>
            <w:r>
              <w:rPr>
                <w:rFonts w:asciiTheme="minorHAnsi" w:hAnsiTheme="minorHAnsi" w:cstheme="minorHAnsi"/>
                <w:sz w:val="22"/>
              </w:rPr>
              <w:t xml:space="preserve"> 11 des </w:t>
            </w:r>
            <w:r>
              <w:rPr>
                <w:rFonts w:asciiTheme="minorHAnsi" w:hAnsiTheme="minorHAnsi" w:cstheme="minorHAnsi"/>
                <w:b/>
                <w:sz w:val="22"/>
              </w:rPr>
              <w:t>Schwarzarbeitsbekämpfungsgesetzes</w:t>
            </w:r>
            <w:r>
              <w:rPr>
                <w:rFonts w:asciiTheme="minorHAnsi" w:hAnsiTheme="minorHAnsi" w:cstheme="minorHAnsi"/>
                <w:sz w:val="22"/>
              </w:rPr>
              <w:t xml:space="preserve"> zu einer Freiheitsstrafe von mehr als drei Monaten oder Geldstrafe von mehr als 90 Tagessätzen rechtskräftig </w:t>
            </w:r>
            <w:r>
              <w:rPr>
                <w:rFonts w:asciiTheme="minorHAnsi" w:hAnsiTheme="minorHAnsi" w:cstheme="minorHAnsi"/>
                <w:b/>
                <w:sz w:val="22"/>
              </w:rPr>
              <w:t xml:space="preserve">verurteilt </w:t>
            </w:r>
            <w:r>
              <w:rPr>
                <w:rFonts w:asciiTheme="minorHAnsi" w:hAnsiTheme="minorHAnsi" w:cstheme="minorHAnsi"/>
                <w:sz w:val="22"/>
              </w:rPr>
              <w:t xml:space="preserve">(vgl. § 98c AufenthG)? </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14</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Wurde der Wirtschaftsteilnehmer wegen eines </w:t>
            </w:r>
            <w:r>
              <w:rPr>
                <w:rFonts w:asciiTheme="minorHAnsi" w:hAnsiTheme="minorHAnsi" w:cstheme="minorHAnsi"/>
                <w:b/>
                <w:sz w:val="22"/>
              </w:rPr>
              <w:t>Verstoßes</w:t>
            </w:r>
            <w:r>
              <w:rPr>
                <w:rFonts w:asciiTheme="minorHAnsi" w:hAnsiTheme="minorHAnsi" w:cstheme="minorHAnsi"/>
                <w:sz w:val="22"/>
              </w:rPr>
              <w:t xml:space="preserve"> nach § 21 des </w:t>
            </w:r>
            <w:r>
              <w:rPr>
                <w:rFonts w:asciiTheme="minorHAnsi" w:hAnsiTheme="minorHAnsi" w:cstheme="minorHAnsi"/>
                <w:b/>
                <w:sz w:val="22"/>
              </w:rPr>
              <w:t>Mindestlohngesetzes</w:t>
            </w:r>
            <w:r>
              <w:rPr>
                <w:rFonts w:asciiTheme="minorHAnsi" w:hAnsiTheme="minorHAnsi" w:cstheme="minorHAnsi"/>
                <w:sz w:val="22"/>
              </w:rPr>
              <w:t xml:space="preserve"> mit einer Geldbuße von wenigstens 2 500 EUR belegt (vgl. § 19 MiLoG)? </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15</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Wurde der Wirtschaftsteilnehmer wegen eines </w:t>
            </w:r>
            <w:r>
              <w:rPr>
                <w:rFonts w:asciiTheme="minorHAnsi" w:hAnsiTheme="minorHAnsi" w:cstheme="minorHAnsi"/>
                <w:b/>
                <w:bCs/>
                <w:sz w:val="22"/>
              </w:rPr>
              <w:t>Verstoßes</w:t>
            </w:r>
            <w:r>
              <w:rPr>
                <w:rFonts w:asciiTheme="minorHAnsi" w:hAnsiTheme="minorHAnsi" w:cstheme="minorHAnsi"/>
                <w:sz w:val="22"/>
              </w:rPr>
              <w:t xml:space="preserve"> nach § 23 des </w:t>
            </w:r>
            <w:r>
              <w:rPr>
                <w:rFonts w:asciiTheme="minorHAnsi" w:hAnsiTheme="minorHAnsi" w:cstheme="minorHAnsi"/>
                <w:b/>
                <w:bCs/>
                <w:sz w:val="22"/>
              </w:rPr>
              <w:t>Arbeitnehmer-Entsendegesetzes</w:t>
            </w:r>
            <w:r>
              <w:rPr>
                <w:rFonts w:asciiTheme="minorHAnsi" w:hAnsiTheme="minorHAnsi" w:cstheme="minorHAnsi"/>
                <w:sz w:val="22"/>
              </w:rPr>
              <w:t xml:space="preserve"> mit einer Geldbuße von wenigstens 2 500 EUR belegt (vgl. § 21 AEntG)?</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16</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Wurde der Wirtschaftsteilnehmer wegen eines rechtskräftig festgestellten </w:t>
            </w:r>
            <w:r>
              <w:rPr>
                <w:rFonts w:asciiTheme="minorHAnsi" w:hAnsiTheme="minorHAnsi" w:cstheme="minorHAnsi"/>
                <w:b/>
                <w:bCs/>
                <w:sz w:val="22"/>
              </w:rPr>
              <w:t>Verstoßes</w:t>
            </w:r>
            <w:r>
              <w:rPr>
                <w:rFonts w:asciiTheme="minorHAnsi" w:hAnsiTheme="minorHAnsi" w:cstheme="minorHAnsi"/>
                <w:sz w:val="22"/>
              </w:rPr>
              <w:t xml:space="preserve"> nach § 24 Abs. 1 des </w:t>
            </w:r>
            <w:r>
              <w:rPr>
                <w:rFonts w:asciiTheme="minorHAnsi" w:hAnsiTheme="minorHAnsi" w:cstheme="minorHAnsi"/>
                <w:b/>
                <w:sz w:val="22"/>
              </w:rPr>
              <w:t>Lieferkettensorgfaltspflichtengesetzes</w:t>
            </w:r>
            <w:r>
              <w:rPr>
                <w:rFonts w:asciiTheme="minorHAnsi" w:hAnsiTheme="minorHAnsi" w:cstheme="minorHAnsi"/>
                <w:sz w:val="22"/>
              </w:rPr>
              <w:t xml:space="preserve"> mit einer Geldbuße belegt (vgl. § 22 LkSG)?</w:t>
            </w:r>
          </w:p>
        </w:tc>
      </w:tr>
    </w:tbl>
    <w:p>
      <w:pPr>
        <w:pStyle w:val="berschrift1"/>
        <w:numPr>
          <w:ilvl w:val="0"/>
          <w:numId w:val="7"/>
        </w:numPr>
        <w:rPr>
          <w:rFonts w:asciiTheme="minorHAnsi" w:hAnsiTheme="minorHAnsi" w:cstheme="minorHAnsi"/>
        </w:rPr>
      </w:pPr>
      <w:r>
        <w:rPr>
          <w:rFonts w:asciiTheme="minorHAnsi" w:hAnsiTheme="minorHAnsi" w:cstheme="minorHAnsi"/>
        </w:rPr>
        <w:lastRenderedPageBreak/>
        <w:t>Russland-Bezug</w:t>
      </w:r>
    </w:p>
    <w:tbl>
      <w:tblPr>
        <w:tblStyle w:val="Tabellenraster"/>
        <w:tblW w:w="9067" w:type="dxa"/>
        <w:tblBorders>
          <w:top w:val="single" w:sz="8" w:space="0" w:color="FF0000"/>
          <w:left w:val="single" w:sz="8" w:space="0" w:color="FF0000"/>
          <w:bottom w:val="single" w:sz="8" w:space="0" w:color="FF0000"/>
          <w:right w:val="single" w:sz="8" w:space="0" w:color="FF0000"/>
          <w:insideH w:val="none" w:sz="0" w:space="0" w:color="auto"/>
          <w:insideV w:val="none" w:sz="0" w:space="0" w:color="auto"/>
        </w:tblBorders>
        <w:tblLook w:val="04A0" w:firstRow="1" w:lastRow="0" w:firstColumn="1" w:lastColumn="0" w:noHBand="0" w:noVBand="1"/>
      </w:tblPr>
      <w:tblGrid>
        <w:gridCol w:w="682"/>
        <w:gridCol w:w="1475"/>
        <w:gridCol w:w="6910"/>
      </w:tblGrid>
      <w:tr>
        <w:tc>
          <w:tcPr>
            <w:tcW w:w="9067" w:type="dxa"/>
            <w:gridSpan w:val="3"/>
          </w:tcPr>
          <w:p>
            <w:pPr>
              <w:pStyle w:val="Tabelle"/>
              <w:keepNext/>
              <w:keepLines/>
              <w:spacing w:before="120" w:after="120" w:line="269" w:lineRule="auto"/>
            </w:pPr>
            <w:r>
              <w:t>Die nachfolgende Erklärung gebe ich verbindlich ab:</w:t>
            </w:r>
          </w:p>
        </w:tc>
      </w:tr>
      <w:tr>
        <w:tc>
          <w:tcPr>
            <w:tcW w:w="682" w:type="dxa"/>
          </w:tcPr>
          <w:p>
            <w:pPr>
              <w:pStyle w:val="Tabelle"/>
              <w:keepNext/>
              <w:keepLines/>
              <w:spacing w:before="120" w:after="120" w:line="269" w:lineRule="auto"/>
            </w:pPr>
            <w:sdt>
              <w:sdtPr>
                <w:id w:val="7795272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tc>
        <w:tc>
          <w:tcPr>
            <w:tcW w:w="1475" w:type="dxa"/>
          </w:tcPr>
          <w:p>
            <w:pPr>
              <w:pStyle w:val="Tabelle"/>
              <w:keepNext/>
              <w:keepLines/>
              <w:spacing w:before="120" w:after="120" w:line="269" w:lineRule="auto"/>
            </w:pPr>
          </w:p>
        </w:tc>
        <w:tc>
          <w:tcPr>
            <w:tcW w:w="6910" w:type="dxa"/>
          </w:tcPr>
          <w:p>
            <w:pPr>
              <w:pStyle w:val="Tabelle"/>
              <w:keepNext/>
              <w:keepLines/>
              <w:spacing w:before="120" w:after="120" w:line="269" w:lineRule="auto"/>
            </w:pPr>
            <w:sdt>
              <w:sdtPr>
                <w:id w:val="51466694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tc>
      </w:tr>
    </w:tbl>
    <w:p>
      <w:pPr>
        <w:keepNext/>
        <w:tabs>
          <w:tab w:val="left" w:pos="426"/>
        </w:tabs>
        <w:spacing w:before="240" w:line="269" w:lineRule="auto"/>
      </w:pPr>
      <w:r>
        <w:t>1.</w:t>
      </w:r>
      <w:r>
        <w:tab/>
        <w:t xml:space="preserve">Der </w:t>
      </w:r>
      <w:r>
        <w:rPr>
          <w:rFonts w:cstheme="minorHAnsi"/>
          <w:sz w:val="22"/>
        </w:rPr>
        <w:t>Wirtschaftsteilnehmer</w:t>
      </w:r>
      <w:r>
        <w:t xml:space="preserve"> gehört nicht zu den </w:t>
      </w:r>
    </w:p>
    <w:p>
      <w:pPr>
        <w:spacing w:line="269" w:lineRule="auto"/>
        <w:ind w:left="426"/>
      </w:pPr>
      <w:r>
        <w:t xml:space="preserve">in </w:t>
      </w:r>
      <w:bookmarkStart w:id="2" w:name="_Hlk143069627"/>
      <w:r>
        <w:t>Artikel 5 k) Absatz 1 der Verordnung (EU) Nr. 833/2014</w:t>
      </w:r>
      <w:r>
        <w:rPr>
          <w:rStyle w:val="Funotenzeichen"/>
        </w:rPr>
        <w:footnoteReference w:id="1"/>
      </w:r>
      <w:r>
        <w:t xml:space="preserve"> </w:t>
      </w:r>
      <w:bookmarkStart w:id="3" w:name="_Hlk143069100"/>
      <w:bookmarkEnd w:id="2"/>
      <w:r>
        <w:t xml:space="preserve">des Rates </w:t>
      </w:r>
      <w:bookmarkEnd w:id="3"/>
      <w:r>
        <w:t xml:space="preserve">über restriktive Maßnahmen angesichts der Handlungen Russlands, die die Lage in der Ukraine destabilisieren, genannten Personen oder Unternehmen, die einen </w:t>
      </w:r>
      <w:r>
        <w:rPr>
          <w:b/>
        </w:rPr>
        <w:t>Bezug zu Russland</w:t>
      </w:r>
      <w:r>
        <w:t xml:space="preserve"> im Sinne der Vorschrift aufweisen, </w:t>
      </w:r>
    </w:p>
    <w:p>
      <w:pPr>
        <w:spacing w:line="269" w:lineRule="auto"/>
        <w:ind w:left="851" w:hanging="425"/>
      </w:pPr>
      <w:r>
        <w:t>a)</w:t>
      </w:r>
      <w:r>
        <w:tab/>
        <w:t xml:space="preserve">durch die russische Staatsangehörigkeit des </w:t>
      </w:r>
      <w:r>
        <w:rPr>
          <w:rFonts w:cstheme="minorHAnsi"/>
          <w:sz w:val="22"/>
        </w:rPr>
        <w:t>Wirtschaftsteilnehmers</w:t>
      </w:r>
      <w:r>
        <w:t xml:space="preserve"> oder die Niederlassung des </w:t>
      </w:r>
      <w:r>
        <w:rPr>
          <w:rFonts w:cstheme="minorHAnsi"/>
          <w:sz w:val="22"/>
        </w:rPr>
        <w:t>Wirtschaftsteilnehmers</w:t>
      </w:r>
      <w:r>
        <w:t xml:space="preserve"> in Russland,</w:t>
      </w:r>
    </w:p>
    <w:p>
      <w:pPr>
        <w:spacing w:line="269" w:lineRule="auto"/>
        <w:ind w:left="851" w:hanging="425"/>
      </w:pPr>
      <w:r>
        <w:t>b)</w:t>
      </w:r>
      <w:r>
        <w:tab/>
        <w:t xml:space="preserve">durch die Beteiligung einer natürlichen Person oder eines Unternehmens, auf die eines der Kriterien nach Buchstabe a zutrifft, am </w:t>
      </w:r>
      <w:r>
        <w:rPr>
          <w:rFonts w:cstheme="minorHAnsi"/>
          <w:sz w:val="22"/>
        </w:rPr>
        <w:t>Wirtschaftsteilnehmer</w:t>
      </w:r>
      <w:r>
        <w:t xml:space="preserve"> über das unmittelbare oder mittelbare Halten von Anteilen im Umfang von mehr als 50 %,</w:t>
      </w:r>
    </w:p>
    <w:p>
      <w:pPr>
        <w:spacing w:line="269" w:lineRule="auto"/>
        <w:ind w:left="851" w:hanging="425"/>
      </w:pPr>
      <w:r>
        <w:t xml:space="preserve">c) </w:t>
      </w:r>
      <w:r>
        <w:tab/>
        <w:t xml:space="preserve">durch das Handeln des </w:t>
      </w:r>
      <w:r>
        <w:rPr>
          <w:rFonts w:cstheme="minorHAnsi"/>
          <w:sz w:val="22"/>
        </w:rPr>
        <w:t>Wirtschaftsteilnehmers</w:t>
      </w:r>
      <w:r>
        <w:t xml:space="preserve"> im Namen oder auf Anweisung von Personen oder Unternehmen, auf die die Kriterien der Buchstaben a und/oder b zutreffen.</w:t>
      </w:r>
    </w:p>
    <w:p>
      <w:pPr>
        <w:tabs>
          <w:tab w:val="left" w:pos="426"/>
        </w:tabs>
        <w:spacing w:line="269" w:lineRule="auto"/>
        <w:ind w:left="426" w:hanging="426"/>
      </w:pPr>
      <w:r>
        <w:t>2.</w:t>
      </w:r>
      <w:r>
        <w:tab/>
        <w:t xml:space="preserve">Die </w:t>
      </w:r>
      <w:bookmarkStart w:id="4" w:name="_Hlk143069873"/>
      <w:r>
        <w:t xml:space="preserve">am Auftrag als Unterauftragnehmer, Lieferanten oder Unternehmen, deren Kapazitäten im Zusammenhang mit der Erbringung des Eignungsnachweises in Anspruch genommen werden, beteiligten </w:t>
      </w:r>
      <w:bookmarkEnd w:id="4"/>
      <w:r>
        <w:t>Unternehmen, auf die mehr als 10 % des Auftragswerts entfällt, gehören ebenfalls nicht zu dem in der Vorschrift genannten Personenkreis mit einem Bezug zu Russland im Sinne der Vorschrift.</w:t>
      </w:r>
    </w:p>
    <w:p>
      <w:pPr>
        <w:tabs>
          <w:tab w:val="left" w:pos="426"/>
        </w:tabs>
        <w:spacing w:line="269" w:lineRule="auto"/>
        <w:ind w:left="426" w:hanging="426"/>
      </w:pPr>
      <w:r>
        <w:t>3.</w:t>
      </w:r>
      <w:r>
        <w:tab/>
        <w:t>Es wird bestätigt und sichergestellt, dass auch während der Vertragslaufzeit keine als Unterauftragnehmer, Lieferanten oder Unternehmen, deren Kapazitäten im Zusammenhang mit der Erbringung des Eignungsnachweises in Anspruch genommen werden, beteiligten Unternehmen mit einem Bezug zu Russland im Sinne von Ziffer 1 eingesetzt werden, auf die mehr als 10 % des Auftragswerts entfällt.</w:t>
      </w:r>
    </w:p>
    <w:p>
      <w:pPr>
        <w:pStyle w:val="berschrift1"/>
      </w:pPr>
      <w:r>
        <w:lastRenderedPageBreak/>
        <w:t>Abschlusserklärung</w:t>
      </w:r>
    </w:p>
    <w:p>
      <w:pPr>
        <w:pStyle w:val="Bieterangabe"/>
      </w:pPr>
      <w:r>
        <w:t>Der Wirtschaftsteilnehmer gibt die nachfolgende Erklärung ab</w:t>
      </w:r>
    </w:p>
    <w:p>
      <w:pPr>
        <w:pStyle w:val="Bieterangabe"/>
      </w:pPr>
      <w:sdt>
        <w:sdtPr>
          <w:id w:val="-200774147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r>
        <w:tab/>
      </w:r>
      <w:sdt>
        <w:sdtPr>
          <w:id w:val="18888367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p>
      <w:pPr>
        <w:keepNext/>
        <w:keepLines/>
        <w:rPr>
          <w:rFonts w:cstheme="minorHAnsi"/>
        </w:rPr>
      </w:pPr>
      <w:r>
        <w:rPr>
          <w:rFonts w:cstheme="minorHAnsi"/>
        </w:rPr>
        <w:t xml:space="preserve">Der Wirtschaftsteilnehmer erklärt, </w:t>
      </w:r>
    </w:p>
    <w:p>
      <w:pPr>
        <w:pStyle w:val="Listenabsatz"/>
        <w:keepNext/>
        <w:keepLines/>
        <w:numPr>
          <w:ilvl w:val="0"/>
          <w:numId w:val="36"/>
        </w:numPr>
        <w:spacing w:line="300" w:lineRule="exact"/>
        <w:contextualSpacing w:val="0"/>
        <w:rPr>
          <w:rFonts w:cstheme="minorHAnsi"/>
        </w:rPr>
      </w:pPr>
      <w:r>
        <w:rPr>
          <w:rFonts w:cstheme="minorHAnsi"/>
        </w:rPr>
        <w:t>dass die in diesem Formular angegebenen Informationen genau und korrekt sind und er sich der Konsequenzen einer schwerwiegenden Täuschung bewusst ist,</w:t>
      </w:r>
    </w:p>
    <w:p>
      <w:pPr>
        <w:pStyle w:val="Listenabsatz"/>
        <w:keepNext/>
        <w:keepLines/>
        <w:numPr>
          <w:ilvl w:val="0"/>
          <w:numId w:val="36"/>
        </w:numPr>
        <w:spacing w:line="300" w:lineRule="exact"/>
        <w:contextualSpacing w:val="0"/>
        <w:rPr>
          <w:rFonts w:cstheme="minorHAnsi"/>
        </w:rPr>
      </w:pPr>
      <w:r>
        <w:rPr>
          <w:rFonts w:cstheme="minorHAnsi"/>
        </w:rPr>
        <w:t>dass er oder ein mit ihm in Verbindung stehendes Unternehmen den öffentlichen Auftraggeber nicht beraten hat oder nicht er auf andere Art und Weise an der Vorbereitung des Vergabeverfahrens beteiligt war und</w:t>
      </w:r>
    </w:p>
    <w:p>
      <w:pPr>
        <w:pStyle w:val="Listenabsatz"/>
        <w:keepNext/>
        <w:keepLines/>
        <w:numPr>
          <w:ilvl w:val="0"/>
          <w:numId w:val="36"/>
        </w:numPr>
        <w:spacing w:after="600" w:line="300" w:lineRule="exact"/>
        <w:ind w:left="714" w:hanging="357"/>
        <w:contextualSpacing w:val="0"/>
        <w:rPr>
          <w:rFonts w:cstheme="minorHAnsi"/>
        </w:rPr>
      </w:pPr>
      <w:r>
        <w:rPr>
          <w:rFonts w:cstheme="minorHAnsi"/>
        </w:rPr>
        <w:t>dass er mit dem Inhalt, den Bedingungen und Rechtsgrundlagen des vorliegenden Vergabeverfahrens einverstanden ist</w:t>
      </w:r>
      <w:r>
        <w:rPr>
          <w:rFonts w:cstheme="minorHAnsi"/>
        </w:rPr>
        <w:t>.</w:t>
      </w:r>
    </w:p>
    <w:sectPr>
      <w:headerReference w:type="even" r:id="rId8"/>
      <w:headerReference w:type="default" r:id="rId9"/>
      <w:footerReference w:type="even" r:id="rId10"/>
      <w:footerReference w:type="default" r:id="rId11"/>
      <w:headerReference w:type="first" r:id="rId12"/>
      <w:footerReference w:type="first" r:id="rId13"/>
      <w:pgSz w:w="11906" w:h="16838"/>
      <w:pgMar w:top="212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before="0" w:after="0" w:line="240" w:lineRule="auto"/>
      </w:pPr>
      <w:r>
        <w:separator/>
      </w:r>
    </w:p>
    <w:p/>
  </w:endnote>
  <w:endnote w:type="continuationSeparator" w:id="0">
    <w:p>
      <w:pPr>
        <w:spacing w:before="0" w:after="0" w:line="240" w:lineRule="auto"/>
      </w:pPr>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riam Fixed">
    <w:charset w:val="B1"/>
    <w:family w:val="modern"/>
    <w:pitch w:val="fixed"/>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before="0" w:after="0" w:line="240" w:lineRule="auto"/>
      </w:pPr>
      <w:r>
        <w:separator/>
      </w:r>
    </w:p>
    <w:p/>
  </w:footnote>
  <w:footnote w:type="continuationSeparator" w:id="0">
    <w:p>
      <w:pPr>
        <w:spacing w:before="0" w:after="0" w:line="240" w:lineRule="auto"/>
      </w:pPr>
      <w:r>
        <w:continuationSeparator/>
      </w:r>
    </w:p>
    <w:p/>
  </w:footnote>
  <w:footnote w:id="1">
    <w:p>
      <w:pPr>
        <w:pStyle w:val="Funotentext"/>
        <w:tabs>
          <w:tab w:val="left" w:pos="709"/>
        </w:tabs>
        <w:rPr>
          <w:rFonts w:cstheme="minorHAnsi"/>
        </w:rPr>
      </w:pPr>
      <w:r>
        <w:rPr>
          <w:rStyle w:val="Funotenzeichen"/>
          <w:rFonts w:cstheme="minorHAnsi"/>
        </w:rPr>
        <w:footnoteRef/>
      </w:r>
      <w:r>
        <w:rPr>
          <w:rFonts w:cstheme="minorHAnsi"/>
        </w:rPr>
        <w:t xml:space="preserve"> Die aktuell jeweils geltende Fassung der Verordnung kann in der Datenbank der Europäischen Union, EUR-Lex, eingesehen werden. Die aufgrund von Änderungen konsolidierten Fassungen der Verordnung (EU) Nr. 833/2014 sind hier zu finden. Dabei ist darauf zu achten, dass die aktuellste Fassung mit dem spätesten Datum ausgewählt wird.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t>Formular: Erklärung zu Ausschlussgründen</w:t>
    </w:r>
  </w:p>
  <w:p>
    <w:pPr>
      <w:pStyle w:val="Kopfzeile"/>
      <w:pBdr>
        <w:bottom w:val="single" w:sz="4" w:space="1" w:color="auto"/>
      </w:pBdr>
    </w:pPr>
    <w:r>
      <w:t xml:space="preserve">Seite </w:t>
    </w:r>
    <w:r>
      <w:fldChar w:fldCharType="begin"/>
    </w:r>
    <w:r>
      <w:instrText xml:space="preserve"> PAGE </w:instrText>
    </w:r>
    <w:r>
      <w:fldChar w:fldCharType="separate"/>
    </w:r>
    <w:r>
      <w:rPr>
        <w:noProof/>
      </w:rPr>
      <w:t>13</w:t>
    </w:r>
    <w:r>
      <w:fldChar w:fldCharType="end"/>
    </w:r>
    <w:r>
      <w:t xml:space="preserve"> von </w:t>
    </w:r>
    <w:fldSimple w:instr=" NUMPAGES ">
      <w:r>
        <w:rPr>
          <w:noProof/>
        </w:rPr>
        <w:t>13</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rPr>
        <w:noProof/>
      </w:rPr>
      <w:drawing>
        <wp:anchor distT="0" distB="0" distL="114300" distR="114300" simplePos="0" relativeHeight="251659264" behindDoc="0" locked="0" layoutInCell="1" allowOverlap="1">
          <wp:simplePos x="0" y="0"/>
          <wp:positionH relativeFrom="column">
            <wp:posOffset>-566420</wp:posOffset>
          </wp:positionH>
          <wp:positionV relativeFrom="paragraph">
            <wp:posOffset>-182880</wp:posOffset>
          </wp:positionV>
          <wp:extent cx="2372995" cy="1266825"/>
          <wp:effectExtent l="19050" t="0" r="8255" b="0"/>
          <wp:wrapThrough wrapText="bothSides">
            <wp:wrapPolygon edited="0">
              <wp:start x="-173" y="0"/>
              <wp:lineTo x="-173" y="21438"/>
              <wp:lineTo x="21675" y="21438"/>
              <wp:lineTo x="21675" y="0"/>
              <wp:lineTo x="-173" y="0"/>
            </wp:wrapPolygon>
          </wp:wrapThrough>
          <wp:docPr id="14" name="Bild 1" descr="DPMA_Office_Farbe_de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PMA_Office_Farbe_de_NEU"/>
                  <pic:cNvPicPr>
                    <a:picLocks noChangeAspect="1" noChangeArrowheads="1"/>
                  </pic:cNvPicPr>
                </pic:nvPicPr>
                <pic:blipFill>
                  <a:blip r:embed="rId1" cstate="print"/>
                  <a:srcRect/>
                  <a:stretch>
                    <a:fillRect/>
                  </a:stretch>
                </pic:blipFill>
                <pic:spPr bwMode="auto">
                  <a:xfrm>
                    <a:off x="0" y="0"/>
                    <a:ext cx="2372995" cy="1266825"/>
                  </a:xfrm>
                  <a:prstGeom prst="rect">
                    <a:avLst/>
                  </a:prstGeom>
                  <a:noFill/>
                  <a:ln w="9525">
                    <a:noFill/>
                    <a:miter lim="800000"/>
                    <a:headEnd/>
                    <a:tailEnd/>
                  </a:ln>
                </pic:spPr>
              </pic:pic>
            </a:graphicData>
          </a:graphic>
        </wp:anchor>
      </w:drawing>
    </w:r>
  </w:p>
  <w:p>
    <w:pPr>
      <w:pStyle w:val="Kopfzeile"/>
    </w:pPr>
  </w:p>
  <w:p>
    <w:pPr>
      <w:pStyle w:val="Kopfzeile"/>
    </w:pPr>
  </w:p>
  <w:p>
    <w:pPr>
      <w:spacing w:line="288" w:lineRule="auto"/>
    </w:pPr>
  </w:p>
  <w:p>
    <w:pPr>
      <w:spacing w:line="288" w:lineRule="auto"/>
    </w:pPr>
  </w:p>
  <w:p>
    <w:pPr>
      <w:spacing w:line="288" w:lineRule="auto"/>
      <w:rPr>
        <w:sz w:val="28"/>
        <w:szCs w:val="28"/>
      </w:rPr>
    </w:pPr>
    <w:r>
      <w:rPr>
        <w:sz w:val="28"/>
        <w:szCs w:val="28"/>
      </w:rPr>
      <w:t xml:space="preserve">Vergabeunterlagen </w:t>
    </w:r>
  </w:p>
  <w:p>
    <w:pPr>
      <w:spacing w:line="288" w:lineRule="auto"/>
      <w:jc w:val="left"/>
      <w:rPr>
        <w:b/>
        <w:sz w:val="52"/>
        <w:szCs w:val="60"/>
      </w:rPr>
    </w:pPr>
    <w:r>
      <w:rPr>
        <w:b/>
        <w:sz w:val="52"/>
        <w:szCs w:val="60"/>
      </w:rPr>
      <w:t xml:space="preserve">Formular: </w:t>
    </w:r>
  </w:p>
  <w:p>
    <w:pPr>
      <w:spacing w:line="288" w:lineRule="auto"/>
      <w:jc w:val="left"/>
      <w:rPr>
        <w:b/>
        <w:sz w:val="52"/>
        <w:szCs w:val="60"/>
      </w:rPr>
    </w:pPr>
    <w:r>
      <w:rPr>
        <w:b/>
        <w:sz w:val="52"/>
        <w:szCs w:val="60"/>
      </w:rPr>
      <w:t>Erklärung zu Ausschlussgründen (VgV)</w:t>
    </w:r>
  </w:p>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C4D1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189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DCF7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C66EB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72F2386C"/>
    <w:lvl w:ilvl="0">
      <w:start w:val="1"/>
      <w:numFmt w:val="decimal"/>
      <w:lvlText w:val="%1."/>
      <w:lvlJc w:val="left"/>
      <w:pPr>
        <w:tabs>
          <w:tab w:val="num" w:pos="360"/>
        </w:tabs>
        <w:ind w:left="360" w:hanging="360"/>
      </w:pPr>
    </w:lvl>
  </w:abstractNum>
  <w:abstractNum w:abstractNumId="5" w15:restartNumberingAfterBreak="0">
    <w:nsid w:val="01776C5B"/>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4735EED"/>
    <w:multiLevelType w:val="hybridMultilevel"/>
    <w:tmpl w:val="FBB0505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AE10992"/>
    <w:multiLevelType w:val="hybridMultilevel"/>
    <w:tmpl w:val="AF4C6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CF24B11"/>
    <w:multiLevelType w:val="hybridMultilevel"/>
    <w:tmpl w:val="AD0E912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293ABF"/>
    <w:multiLevelType w:val="hybridMultilevel"/>
    <w:tmpl w:val="F312879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56D3D05"/>
    <w:multiLevelType w:val="hybridMultilevel"/>
    <w:tmpl w:val="3922488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7652088"/>
    <w:multiLevelType w:val="hybridMultilevel"/>
    <w:tmpl w:val="C922C6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89F2F3D"/>
    <w:multiLevelType w:val="hybridMultilevel"/>
    <w:tmpl w:val="E4E60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C453C53"/>
    <w:multiLevelType w:val="hybridMultilevel"/>
    <w:tmpl w:val="C922C6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FD574E9"/>
    <w:multiLevelType w:val="hybridMultilevel"/>
    <w:tmpl w:val="DBF84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AF10E8"/>
    <w:multiLevelType w:val="hybridMultilevel"/>
    <w:tmpl w:val="78BC2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13826DE"/>
    <w:multiLevelType w:val="hybridMultilevel"/>
    <w:tmpl w:val="7B6A291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28F7EF8"/>
    <w:multiLevelType w:val="hybridMultilevel"/>
    <w:tmpl w:val="B6D232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3FA66EC"/>
    <w:multiLevelType w:val="hybridMultilevel"/>
    <w:tmpl w:val="70781F88"/>
    <w:lvl w:ilvl="0" w:tplc="04070001">
      <w:start w:val="1"/>
      <w:numFmt w:val="bullet"/>
      <w:lvlText w:val=""/>
      <w:lvlJc w:val="left"/>
      <w:pPr>
        <w:ind w:left="1720" w:hanging="360"/>
      </w:pPr>
      <w:rPr>
        <w:rFonts w:ascii="Symbol" w:hAnsi="Symbol" w:hint="default"/>
      </w:rPr>
    </w:lvl>
    <w:lvl w:ilvl="1" w:tplc="04070001">
      <w:start w:val="1"/>
      <w:numFmt w:val="bullet"/>
      <w:lvlText w:val=""/>
      <w:lvlJc w:val="left"/>
      <w:pPr>
        <w:ind w:left="2440" w:hanging="360"/>
      </w:pPr>
      <w:rPr>
        <w:rFonts w:ascii="Symbol" w:hAnsi="Symbol" w:hint="default"/>
      </w:rPr>
    </w:lvl>
    <w:lvl w:ilvl="2" w:tplc="04070005" w:tentative="1">
      <w:start w:val="1"/>
      <w:numFmt w:val="bullet"/>
      <w:lvlText w:val=""/>
      <w:lvlJc w:val="left"/>
      <w:pPr>
        <w:ind w:left="3160" w:hanging="360"/>
      </w:pPr>
      <w:rPr>
        <w:rFonts w:ascii="Wingdings" w:hAnsi="Wingdings" w:hint="default"/>
      </w:rPr>
    </w:lvl>
    <w:lvl w:ilvl="3" w:tplc="04070001" w:tentative="1">
      <w:start w:val="1"/>
      <w:numFmt w:val="bullet"/>
      <w:lvlText w:val=""/>
      <w:lvlJc w:val="left"/>
      <w:pPr>
        <w:ind w:left="3880" w:hanging="360"/>
      </w:pPr>
      <w:rPr>
        <w:rFonts w:ascii="Symbol" w:hAnsi="Symbol" w:hint="default"/>
      </w:rPr>
    </w:lvl>
    <w:lvl w:ilvl="4" w:tplc="04070003" w:tentative="1">
      <w:start w:val="1"/>
      <w:numFmt w:val="bullet"/>
      <w:lvlText w:val="o"/>
      <w:lvlJc w:val="left"/>
      <w:pPr>
        <w:ind w:left="4600" w:hanging="360"/>
      </w:pPr>
      <w:rPr>
        <w:rFonts w:ascii="Courier New" w:hAnsi="Courier New" w:cs="Courier New" w:hint="default"/>
      </w:rPr>
    </w:lvl>
    <w:lvl w:ilvl="5" w:tplc="04070005" w:tentative="1">
      <w:start w:val="1"/>
      <w:numFmt w:val="bullet"/>
      <w:lvlText w:val=""/>
      <w:lvlJc w:val="left"/>
      <w:pPr>
        <w:ind w:left="5320" w:hanging="360"/>
      </w:pPr>
      <w:rPr>
        <w:rFonts w:ascii="Wingdings" w:hAnsi="Wingdings" w:hint="default"/>
      </w:rPr>
    </w:lvl>
    <w:lvl w:ilvl="6" w:tplc="04070001" w:tentative="1">
      <w:start w:val="1"/>
      <w:numFmt w:val="bullet"/>
      <w:lvlText w:val=""/>
      <w:lvlJc w:val="left"/>
      <w:pPr>
        <w:ind w:left="6040" w:hanging="360"/>
      </w:pPr>
      <w:rPr>
        <w:rFonts w:ascii="Symbol" w:hAnsi="Symbol" w:hint="default"/>
      </w:rPr>
    </w:lvl>
    <w:lvl w:ilvl="7" w:tplc="04070003" w:tentative="1">
      <w:start w:val="1"/>
      <w:numFmt w:val="bullet"/>
      <w:lvlText w:val="o"/>
      <w:lvlJc w:val="left"/>
      <w:pPr>
        <w:ind w:left="6760" w:hanging="360"/>
      </w:pPr>
      <w:rPr>
        <w:rFonts w:ascii="Courier New" w:hAnsi="Courier New" w:cs="Courier New" w:hint="default"/>
      </w:rPr>
    </w:lvl>
    <w:lvl w:ilvl="8" w:tplc="04070005" w:tentative="1">
      <w:start w:val="1"/>
      <w:numFmt w:val="bullet"/>
      <w:lvlText w:val=""/>
      <w:lvlJc w:val="left"/>
      <w:pPr>
        <w:ind w:left="7480" w:hanging="360"/>
      </w:pPr>
      <w:rPr>
        <w:rFonts w:ascii="Wingdings" w:hAnsi="Wingdings" w:hint="default"/>
      </w:rPr>
    </w:lvl>
  </w:abstractNum>
  <w:abstractNum w:abstractNumId="19" w15:restartNumberingAfterBreak="0">
    <w:nsid w:val="27C03610"/>
    <w:multiLevelType w:val="hybridMultilevel"/>
    <w:tmpl w:val="6C60100E"/>
    <w:lvl w:ilvl="0" w:tplc="04070001">
      <w:start w:val="1"/>
      <w:numFmt w:val="bullet"/>
      <w:lvlText w:val=""/>
      <w:lvlJc w:val="left"/>
      <w:pPr>
        <w:ind w:left="1720" w:hanging="360"/>
      </w:pPr>
      <w:rPr>
        <w:rFonts w:ascii="Symbol" w:hAnsi="Symbol" w:hint="default"/>
      </w:rPr>
    </w:lvl>
    <w:lvl w:ilvl="1" w:tplc="04070003" w:tentative="1">
      <w:start w:val="1"/>
      <w:numFmt w:val="bullet"/>
      <w:lvlText w:val="o"/>
      <w:lvlJc w:val="left"/>
      <w:pPr>
        <w:ind w:left="2440" w:hanging="360"/>
      </w:pPr>
      <w:rPr>
        <w:rFonts w:ascii="Courier New" w:hAnsi="Courier New" w:cs="Courier New" w:hint="default"/>
      </w:rPr>
    </w:lvl>
    <w:lvl w:ilvl="2" w:tplc="04070005" w:tentative="1">
      <w:start w:val="1"/>
      <w:numFmt w:val="bullet"/>
      <w:lvlText w:val=""/>
      <w:lvlJc w:val="left"/>
      <w:pPr>
        <w:ind w:left="3160" w:hanging="360"/>
      </w:pPr>
      <w:rPr>
        <w:rFonts w:ascii="Wingdings" w:hAnsi="Wingdings" w:hint="default"/>
      </w:rPr>
    </w:lvl>
    <w:lvl w:ilvl="3" w:tplc="04070001" w:tentative="1">
      <w:start w:val="1"/>
      <w:numFmt w:val="bullet"/>
      <w:lvlText w:val=""/>
      <w:lvlJc w:val="left"/>
      <w:pPr>
        <w:ind w:left="3880" w:hanging="360"/>
      </w:pPr>
      <w:rPr>
        <w:rFonts w:ascii="Symbol" w:hAnsi="Symbol" w:hint="default"/>
      </w:rPr>
    </w:lvl>
    <w:lvl w:ilvl="4" w:tplc="04070003" w:tentative="1">
      <w:start w:val="1"/>
      <w:numFmt w:val="bullet"/>
      <w:lvlText w:val="o"/>
      <w:lvlJc w:val="left"/>
      <w:pPr>
        <w:ind w:left="4600" w:hanging="360"/>
      </w:pPr>
      <w:rPr>
        <w:rFonts w:ascii="Courier New" w:hAnsi="Courier New" w:cs="Courier New" w:hint="default"/>
      </w:rPr>
    </w:lvl>
    <w:lvl w:ilvl="5" w:tplc="04070005" w:tentative="1">
      <w:start w:val="1"/>
      <w:numFmt w:val="bullet"/>
      <w:lvlText w:val=""/>
      <w:lvlJc w:val="left"/>
      <w:pPr>
        <w:ind w:left="5320" w:hanging="360"/>
      </w:pPr>
      <w:rPr>
        <w:rFonts w:ascii="Wingdings" w:hAnsi="Wingdings" w:hint="default"/>
      </w:rPr>
    </w:lvl>
    <w:lvl w:ilvl="6" w:tplc="04070001" w:tentative="1">
      <w:start w:val="1"/>
      <w:numFmt w:val="bullet"/>
      <w:lvlText w:val=""/>
      <w:lvlJc w:val="left"/>
      <w:pPr>
        <w:ind w:left="6040" w:hanging="360"/>
      </w:pPr>
      <w:rPr>
        <w:rFonts w:ascii="Symbol" w:hAnsi="Symbol" w:hint="default"/>
      </w:rPr>
    </w:lvl>
    <w:lvl w:ilvl="7" w:tplc="04070003" w:tentative="1">
      <w:start w:val="1"/>
      <w:numFmt w:val="bullet"/>
      <w:lvlText w:val="o"/>
      <w:lvlJc w:val="left"/>
      <w:pPr>
        <w:ind w:left="6760" w:hanging="360"/>
      </w:pPr>
      <w:rPr>
        <w:rFonts w:ascii="Courier New" w:hAnsi="Courier New" w:cs="Courier New" w:hint="default"/>
      </w:rPr>
    </w:lvl>
    <w:lvl w:ilvl="8" w:tplc="04070005" w:tentative="1">
      <w:start w:val="1"/>
      <w:numFmt w:val="bullet"/>
      <w:lvlText w:val=""/>
      <w:lvlJc w:val="left"/>
      <w:pPr>
        <w:ind w:left="7480" w:hanging="360"/>
      </w:pPr>
      <w:rPr>
        <w:rFonts w:ascii="Wingdings" w:hAnsi="Wingdings" w:hint="default"/>
      </w:rPr>
    </w:lvl>
  </w:abstractNum>
  <w:abstractNum w:abstractNumId="20" w15:restartNumberingAfterBreak="0">
    <w:nsid w:val="27FD5FF3"/>
    <w:multiLevelType w:val="hybridMultilevel"/>
    <w:tmpl w:val="6D409A5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8562B20"/>
    <w:multiLevelType w:val="hybridMultilevel"/>
    <w:tmpl w:val="418E6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963793C"/>
    <w:multiLevelType w:val="hybridMultilevel"/>
    <w:tmpl w:val="3E6ABA7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F911C02"/>
    <w:multiLevelType w:val="hybridMultilevel"/>
    <w:tmpl w:val="474C7CD8"/>
    <w:lvl w:ilvl="0" w:tplc="04070001">
      <w:start w:val="1"/>
      <w:numFmt w:val="bullet"/>
      <w:lvlText w:val=""/>
      <w:lvlJc w:val="left"/>
      <w:pPr>
        <w:tabs>
          <w:tab w:val="num" w:pos="284"/>
        </w:tabs>
        <w:ind w:left="0" w:firstLine="0"/>
      </w:pPr>
      <w:rPr>
        <w:rFonts w:ascii="Symbol" w:hAnsi="Symbol" w:hint="default"/>
        <w:b/>
        <w:i w:val="0"/>
        <w:sz w:val="22"/>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4" w15:restartNumberingAfterBreak="0">
    <w:nsid w:val="33DD5697"/>
    <w:multiLevelType w:val="hybridMultilevel"/>
    <w:tmpl w:val="3E9414E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4600E72"/>
    <w:multiLevelType w:val="hybridMultilevel"/>
    <w:tmpl w:val="B412B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4A37EF3"/>
    <w:multiLevelType w:val="multilevel"/>
    <w:tmpl w:val="F9CC8D34"/>
    <w:lvl w:ilvl="0">
      <w:start w:val="1"/>
      <w:numFmt w:val="decimal"/>
      <w:pStyle w:val="berschrift1"/>
      <w:lvlText w:val="%1."/>
      <w:lvlJc w:val="left"/>
      <w:pPr>
        <w:tabs>
          <w:tab w:val="num" w:pos="851"/>
        </w:tabs>
        <w:ind w:left="0" w:firstLine="0"/>
      </w:pPr>
      <w:rPr>
        <w:rFonts w:ascii="Calibri" w:hAnsi="Calibri" w:hint="default"/>
        <w:b/>
        <w:i w:val="0"/>
        <w:color w:val="auto"/>
        <w:sz w:val="28"/>
      </w:rPr>
    </w:lvl>
    <w:lvl w:ilvl="1">
      <w:start w:val="1"/>
      <w:numFmt w:val="decimal"/>
      <w:pStyle w:val="berschrift2"/>
      <w:lvlText w:val="%1.%2."/>
      <w:lvlJc w:val="left"/>
      <w:pPr>
        <w:tabs>
          <w:tab w:val="num" w:pos="851"/>
        </w:tabs>
        <w:ind w:left="0" w:firstLine="0"/>
      </w:pPr>
      <w:rPr>
        <w:rFonts w:ascii="Calibri" w:hAnsi="Calibri" w:hint="default"/>
        <w:b/>
        <w:i w:val="0"/>
        <w:sz w:val="26"/>
      </w:rPr>
    </w:lvl>
    <w:lvl w:ilvl="2">
      <w:start w:val="1"/>
      <w:numFmt w:val="decimal"/>
      <w:pStyle w:val="berschrift3"/>
      <w:lvlText w:val="%1.%2.%3."/>
      <w:lvlJc w:val="left"/>
      <w:pPr>
        <w:tabs>
          <w:tab w:val="num" w:pos="851"/>
        </w:tabs>
        <w:ind w:left="0" w:firstLine="0"/>
      </w:pPr>
      <w:rPr>
        <w:rFonts w:ascii="Calibri" w:hAnsi="Calibri" w:hint="default"/>
        <w:b/>
        <w:i w:val="0"/>
        <w:sz w:val="24"/>
      </w:rPr>
    </w:lvl>
    <w:lvl w:ilvl="3">
      <w:start w:val="1"/>
      <w:numFmt w:val="decimal"/>
      <w:pStyle w:val="berschrift4"/>
      <w:lvlText w:val="%1.%2.%3.%4."/>
      <w:lvlJc w:val="left"/>
      <w:pPr>
        <w:tabs>
          <w:tab w:val="num" w:pos="851"/>
        </w:tabs>
        <w:ind w:left="0" w:firstLine="0"/>
      </w:pPr>
      <w:rPr>
        <w:rFonts w:ascii="Calibri" w:hAnsi="Calibri" w:hint="default"/>
        <w:b/>
        <w:i w:val="0"/>
        <w:sz w:val="24"/>
      </w:rPr>
    </w:lvl>
    <w:lvl w:ilvl="4">
      <w:start w:val="1"/>
      <w:numFmt w:val="decimal"/>
      <w:pStyle w:val="berschrift5"/>
      <w:lvlText w:val="%1.%2.%3.%4.%5."/>
      <w:lvlJc w:val="left"/>
      <w:pPr>
        <w:tabs>
          <w:tab w:val="num" w:pos="851"/>
        </w:tabs>
        <w:ind w:left="0" w:firstLine="0"/>
      </w:pPr>
      <w:rPr>
        <w:rFonts w:ascii="Calibri" w:hAnsi="Calibri" w:hint="default"/>
        <w:b/>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9ED74CC"/>
    <w:multiLevelType w:val="hybridMultilevel"/>
    <w:tmpl w:val="2CAC290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DD42B08"/>
    <w:multiLevelType w:val="hybridMultilevel"/>
    <w:tmpl w:val="B00AE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E481C49"/>
    <w:multiLevelType w:val="multilevel"/>
    <w:tmpl w:val="9984DADC"/>
    <w:lvl w:ilvl="0">
      <w:start w:val="6"/>
      <w:numFmt w:val="decimal"/>
      <w:lvlText w:val="%1."/>
      <w:lvlJc w:val="left"/>
      <w:pPr>
        <w:tabs>
          <w:tab w:val="num" w:pos="360"/>
        </w:tabs>
        <w:ind w:left="360" w:hanging="360"/>
      </w:pPr>
      <w:rPr>
        <w:rFonts w:cs="Miriam Fixed" w:hint="default"/>
      </w:rPr>
    </w:lvl>
    <w:lvl w:ilvl="1">
      <w:start w:val="1"/>
      <w:numFmt w:val="decimal"/>
      <w:lvlText w:val="%1.%2."/>
      <w:lvlJc w:val="left"/>
      <w:pPr>
        <w:tabs>
          <w:tab w:val="num" w:pos="720"/>
        </w:tabs>
        <w:ind w:left="720" w:hanging="720"/>
      </w:pPr>
      <w:rPr>
        <w:rFonts w:cs="Miriam Fixed" w:hint="default"/>
      </w:rPr>
    </w:lvl>
    <w:lvl w:ilvl="2">
      <w:start w:val="1"/>
      <w:numFmt w:val="decimal"/>
      <w:lvlText w:val="%1.%2.%3."/>
      <w:lvlJc w:val="left"/>
      <w:pPr>
        <w:tabs>
          <w:tab w:val="num" w:pos="720"/>
        </w:tabs>
        <w:ind w:left="720" w:hanging="720"/>
      </w:pPr>
      <w:rPr>
        <w:rFonts w:cs="Miriam Fixed" w:hint="default"/>
      </w:rPr>
    </w:lvl>
    <w:lvl w:ilvl="3">
      <w:start w:val="1"/>
      <w:numFmt w:val="decimal"/>
      <w:lvlText w:val="%1.%2.%3.%4."/>
      <w:lvlJc w:val="left"/>
      <w:pPr>
        <w:tabs>
          <w:tab w:val="num" w:pos="1080"/>
        </w:tabs>
        <w:ind w:left="1080" w:hanging="1080"/>
      </w:pPr>
      <w:rPr>
        <w:rFonts w:cs="Miriam Fixed" w:hint="default"/>
      </w:rPr>
    </w:lvl>
    <w:lvl w:ilvl="4">
      <w:start w:val="1"/>
      <w:numFmt w:val="decimal"/>
      <w:lvlText w:val="%1.%2.%3.%4.%5."/>
      <w:lvlJc w:val="left"/>
      <w:pPr>
        <w:tabs>
          <w:tab w:val="num" w:pos="1080"/>
        </w:tabs>
        <w:ind w:left="1080" w:hanging="1080"/>
      </w:pPr>
      <w:rPr>
        <w:rFonts w:cs="Miriam Fixed" w:hint="default"/>
      </w:rPr>
    </w:lvl>
    <w:lvl w:ilvl="5">
      <w:start w:val="1"/>
      <w:numFmt w:val="decimal"/>
      <w:lvlText w:val="%1.%2.%3.%4.%5.%6."/>
      <w:lvlJc w:val="left"/>
      <w:pPr>
        <w:tabs>
          <w:tab w:val="num" w:pos="1440"/>
        </w:tabs>
        <w:ind w:left="1440" w:hanging="1440"/>
      </w:pPr>
      <w:rPr>
        <w:rFonts w:cs="Miriam Fixed" w:hint="default"/>
      </w:rPr>
    </w:lvl>
    <w:lvl w:ilvl="6">
      <w:start w:val="1"/>
      <w:numFmt w:val="decimal"/>
      <w:lvlText w:val="%1.%2.%3.%4.%5.%6.%7."/>
      <w:lvlJc w:val="left"/>
      <w:pPr>
        <w:tabs>
          <w:tab w:val="num" w:pos="1440"/>
        </w:tabs>
        <w:ind w:left="1440" w:hanging="1440"/>
      </w:pPr>
      <w:rPr>
        <w:rFonts w:cs="Miriam Fixed" w:hint="default"/>
      </w:rPr>
    </w:lvl>
    <w:lvl w:ilvl="7">
      <w:start w:val="1"/>
      <w:numFmt w:val="decimal"/>
      <w:lvlText w:val="%1.%2.%3.%4.%5.%6.%7.%8."/>
      <w:lvlJc w:val="left"/>
      <w:pPr>
        <w:tabs>
          <w:tab w:val="num" w:pos="1800"/>
        </w:tabs>
        <w:ind w:left="1800" w:hanging="1800"/>
      </w:pPr>
      <w:rPr>
        <w:rFonts w:cs="Miriam Fixed" w:hint="default"/>
      </w:rPr>
    </w:lvl>
    <w:lvl w:ilvl="8">
      <w:start w:val="1"/>
      <w:numFmt w:val="decimal"/>
      <w:lvlText w:val="%1.%2.%3.%4.%5.%6.%7.%8.%9."/>
      <w:lvlJc w:val="left"/>
      <w:pPr>
        <w:tabs>
          <w:tab w:val="num" w:pos="1800"/>
        </w:tabs>
        <w:ind w:left="1800" w:hanging="1800"/>
      </w:pPr>
      <w:rPr>
        <w:rFonts w:cs="Miriam Fixed" w:hint="default"/>
      </w:rPr>
    </w:lvl>
  </w:abstractNum>
  <w:abstractNum w:abstractNumId="30" w15:restartNumberingAfterBreak="0">
    <w:nsid w:val="4BD27B55"/>
    <w:multiLevelType w:val="hybridMultilevel"/>
    <w:tmpl w:val="733C59D4"/>
    <w:lvl w:ilvl="0" w:tplc="985EDB52">
      <w:start w:val="1"/>
      <w:numFmt w:val="decimal"/>
      <w:lvlText w:val="§ %1"/>
      <w:lvlJc w:val="left"/>
      <w:pPr>
        <w:ind w:left="720" w:hanging="360"/>
      </w:pPr>
      <w:rPr>
        <w:rFonts w:ascii="Calibri" w:hAnsi="Calibri"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0BD2566"/>
    <w:multiLevelType w:val="hybridMultilevel"/>
    <w:tmpl w:val="EDC67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4480AD3"/>
    <w:multiLevelType w:val="hybridMultilevel"/>
    <w:tmpl w:val="05DE801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2B2D06"/>
    <w:multiLevelType w:val="hybridMultilevel"/>
    <w:tmpl w:val="E0129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576608F"/>
    <w:multiLevelType w:val="hybridMultilevel"/>
    <w:tmpl w:val="426EE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67F1374"/>
    <w:multiLevelType w:val="hybridMultilevel"/>
    <w:tmpl w:val="1C8806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906135A"/>
    <w:multiLevelType w:val="hybridMultilevel"/>
    <w:tmpl w:val="2BEEA95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F83017E"/>
    <w:multiLevelType w:val="hybridMultilevel"/>
    <w:tmpl w:val="EE469052"/>
    <w:lvl w:ilvl="0" w:tplc="04070001">
      <w:start w:val="1"/>
      <w:numFmt w:val="bullet"/>
      <w:lvlText w:val=""/>
      <w:lvlJc w:val="left"/>
      <w:pPr>
        <w:ind w:left="1720" w:hanging="360"/>
      </w:pPr>
      <w:rPr>
        <w:rFonts w:ascii="Symbol" w:hAnsi="Symbol" w:hint="default"/>
      </w:rPr>
    </w:lvl>
    <w:lvl w:ilvl="1" w:tplc="04070003">
      <w:start w:val="1"/>
      <w:numFmt w:val="bullet"/>
      <w:lvlText w:val="o"/>
      <w:lvlJc w:val="left"/>
      <w:pPr>
        <w:ind w:left="2440" w:hanging="360"/>
      </w:pPr>
      <w:rPr>
        <w:rFonts w:ascii="Courier New" w:hAnsi="Courier New" w:cs="Courier New" w:hint="default"/>
      </w:rPr>
    </w:lvl>
    <w:lvl w:ilvl="2" w:tplc="04070005" w:tentative="1">
      <w:start w:val="1"/>
      <w:numFmt w:val="bullet"/>
      <w:lvlText w:val=""/>
      <w:lvlJc w:val="left"/>
      <w:pPr>
        <w:ind w:left="3160" w:hanging="360"/>
      </w:pPr>
      <w:rPr>
        <w:rFonts w:ascii="Wingdings" w:hAnsi="Wingdings" w:hint="default"/>
      </w:rPr>
    </w:lvl>
    <w:lvl w:ilvl="3" w:tplc="04070001" w:tentative="1">
      <w:start w:val="1"/>
      <w:numFmt w:val="bullet"/>
      <w:lvlText w:val=""/>
      <w:lvlJc w:val="left"/>
      <w:pPr>
        <w:ind w:left="3880" w:hanging="360"/>
      </w:pPr>
      <w:rPr>
        <w:rFonts w:ascii="Symbol" w:hAnsi="Symbol" w:hint="default"/>
      </w:rPr>
    </w:lvl>
    <w:lvl w:ilvl="4" w:tplc="04070003" w:tentative="1">
      <w:start w:val="1"/>
      <w:numFmt w:val="bullet"/>
      <w:lvlText w:val="o"/>
      <w:lvlJc w:val="left"/>
      <w:pPr>
        <w:ind w:left="4600" w:hanging="360"/>
      </w:pPr>
      <w:rPr>
        <w:rFonts w:ascii="Courier New" w:hAnsi="Courier New" w:cs="Courier New" w:hint="default"/>
      </w:rPr>
    </w:lvl>
    <w:lvl w:ilvl="5" w:tplc="04070005" w:tentative="1">
      <w:start w:val="1"/>
      <w:numFmt w:val="bullet"/>
      <w:lvlText w:val=""/>
      <w:lvlJc w:val="left"/>
      <w:pPr>
        <w:ind w:left="5320" w:hanging="360"/>
      </w:pPr>
      <w:rPr>
        <w:rFonts w:ascii="Wingdings" w:hAnsi="Wingdings" w:hint="default"/>
      </w:rPr>
    </w:lvl>
    <w:lvl w:ilvl="6" w:tplc="04070001" w:tentative="1">
      <w:start w:val="1"/>
      <w:numFmt w:val="bullet"/>
      <w:lvlText w:val=""/>
      <w:lvlJc w:val="left"/>
      <w:pPr>
        <w:ind w:left="6040" w:hanging="360"/>
      </w:pPr>
      <w:rPr>
        <w:rFonts w:ascii="Symbol" w:hAnsi="Symbol" w:hint="default"/>
      </w:rPr>
    </w:lvl>
    <w:lvl w:ilvl="7" w:tplc="04070003" w:tentative="1">
      <w:start w:val="1"/>
      <w:numFmt w:val="bullet"/>
      <w:lvlText w:val="o"/>
      <w:lvlJc w:val="left"/>
      <w:pPr>
        <w:ind w:left="6760" w:hanging="360"/>
      </w:pPr>
      <w:rPr>
        <w:rFonts w:ascii="Courier New" w:hAnsi="Courier New" w:cs="Courier New" w:hint="default"/>
      </w:rPr>
    </w:lvl>
    <w:lvl w:ilvl="8" w:tplc="04070005" w:tentative="1">
      <w:start w:val="1"/>
      <w:numFmt w:val="bullet"/>
      <w:lvlText w:val=""/>
      <w:lvlJc w:val="left"/>
      <w:pPr>
        <w:ind w:left="7480" w:hanging="360"/>
      </w:pPr>
      <w:rPr>
        <w:rFonts w:ascii="Wingdings" w:hAnsi="Wingdings" w:hint="default"/>
      </w:rPr>
    </w:lvl>
  </w:abstractNum>
  <w:abstractNum w:abstractNumId="38" w15:restartNumberingAfterBreak="0">
    <w:nsid w:val="679C1228"/>
    <w:multiLevelType w:val="hybridMultilevel"/>
    <w:tmpl w:val="4E52F5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C514109"/>
    <w:multiLevelType w:val="hybridMultilevel"/>
    <w:tmpl w:val="4FBE977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E9D5742"/>
    <w:multiLevelType w:val="hybridMultilevel"/>
    <w:tmpl w:val="AD5629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F6E289F"/>
    <w:multiLevelType w:val="hybridMultilevel"/>
    <w:tmpl w:val="0B68ECA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0"/>
  </w:num>
  <w:num w:numId="2">
    <w:abstractNumId w:val="4"/>
  </w:num>
  <w:num w:numId="3">
    <w:abstractNumId w:val="3"/>
  </w:num>
  <w:num w:numId="4">
    <w:abstractNumId w:val="2"/>
  </w:num>
  <w:num w:numId="5">
    <w:abstractNumId w:val="1"/>
  </w:num>
  <w:num w:numId="6">
    <w:abstractNumId w:val="0"/>
  </w:num>
  <w:num w:numId="7">
    <w:abstractNumId w:val="26"/>
  </w:num>
  <w:num w:numId="8">
    <w:abstractNumId w:val="26"/>
  </w:num>
  <w:num w:numId="9">
    <w:abstractNumId w:val="33"/>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3"/>
  </w:num>
  <w:num w:numId="13">
    <w:abstractNumId w:val="29"/>
  </w:num>
  <w:num w:numId="14">
    <w:abstractNumId w:val="19"/>
  </w:num>
  <w:num w:numId="15">
    <w:abstractNumId w:val="37"/>
  </w:num>
  <w:num w:numId="16">
    <w:abstractNumId w:val="18"/>
  </w:num>
  <w:num w:numId="17">
    <w:abstractNumId w:val="7"/>
  </w:num>
  <w:num w:numId="18">
    <w:abstractNumId w:val="31"/>
  </w:num>
  <w:num w:numId="19">
    <w:abstractNumId w:val="14"/>
  </w:num>
  <w:num w:numId="20">
    <w:abstractNumId w:val="35"/>
  </w:num>
  <w:num w:numId="21">
    <w:abstractNumId w:val="10"/>
  </w:num>
  <w:num w:numId="22">
    <w:abstractNumId w:val="24"/>
  </w:num>
  <w:num w:numId="23">
    <w:abstractNumId w:val="27"/>
  </w:num>
  <w:num w:numId="24">
    <w:abstractNumId w:val="9"/>
  </w:num>
  <w:num w:numId="25">
    <w:abstractNumId w:val="41"/>
  </w:num>
  <w:num w:numId="26">
    <w:abstractNumId w:val="39"/>
  </w:num>
  <w:num w:numId="27">
    <w:abstractNumId w:val="32"/>
  </w:num>
  <w:num w:numId="28">
    <w:abstractNumId w:val="16"/>
  </w:num>
  <w:num w:numId="29">
    <w:abstractNumId w:val="20"/>
  </w:num>
  <w:num w:numId="30">
    <w:abstractNumId w:val="6"/>
  </w:num>
  <w:num w:numId="31">
    <w:abstractNumId w:val="12"/>
  </w:num>
  <w:num w:numId="32">
    <w:abstractNumId w:val="15"/>
  </w:num>
  <w:num w:numId="33">
    <w:abstractNumId w:val="17"/>
  </w:num>
  <w:num w:numId="34">
    <w:abstractNumId w:val="5"/>
  </w:num>
  <w:num w:numId="35">
    <w:abstractNumId w:val="22"/>
  </w:num>
  <w:num w:numId="36">
    <w:abstractNumId w:val="11"/>
  </w:num>
  <w:num w:numId="37">
    <w:abstractNumId w:val="36"/>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40"/>
  </w:num>
  <w:num w:numId="42">
    <w:abstractNumId w:val="38"/>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21"/>
  </w:num>
  <w:num w:numId="46">
    <w:abstractNumId w:val="25"/>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autoHyphenation/>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5:chartTrackingRefBased/>
  <w15:docId w15:val="{D99DB788-1B4E-4A7E-8D5F-7144E1CE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uiPriority="3"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2"/>
    <w:qFormat/>
    <w:pPr>
      <w:spacing w:before="120" w:after="120" w:line="300" w:lineRule="auto"/>
      <w:jc w:val="both"/>
    </w:pPr>
    <w:rPr>
      <w:sz w:val="24"/>
    </w:rPr>
  </w:style>
  <w:style w:type="paragraph" w:styleId="berschrift1">
    <w:name w:val="heading 1"/>
    <w:basedOn w:val="Standard"/>
    <w:next w:val="Standard"/>
    <w:link w:val="berschrift1Zchn"/>
    <w:uiPriority w:val="3"/>
    <w:qFormat/>
    <w:pPr>
      <w:keepNext/>
      <w:keepLines/>
      <w:numPr>
        <w:numId w:val="8"/>
      </w:numPr>
      <w:spacing w:before="600" w:after="240"/>
      <w:jc w:val="left"/>
      <w:outlineLvl w:val="0"/>
    </w:pPr>
    <w:rPr>
      <w:rFonts w:ascii="Calibri" w:eastAsiaTheme="majorEastAsia" w:hAnsi="Calibri" w:cstheme="majorBidi"/>
      <w:b/>
      <w:sz w:val="28"/>
      <w:szCs w:val="32"/>
    </w:rPr>
  </w:style>
  <w:style w:type="paragraph" w:styleId="berschrift2">
    <w:name w:val="heading 2"/>
    <w:basedOn w:val="Standard"/>
    <w:next w:val="Standard"/>
    <w:link w:val="berschrift2Zchn"/>
    <w:uiPriority w:val="3"/>
    <w:qFormat/>
    <w:pPr>
      <w:keepNext/>
      <w:keepLines/>
      <w:numPr>
        <w:ilvl w:val="1"/>
        <w:numId w:val="8"/>
      </w:numPr>
      <w:spacing w:before="240"/>
      <w:ind w:left="851" w:hanging="851"/>
      <w:jc w:val="left"/>
      <w:outlineLvl w:val="1"/>
    </w:pPr>
    <w:rPr>
      <w:rFonts w:asciiTheme="majorHAnsi" w:eastAsiaTheme="majorEastAsia" w:hAnsiTheme="majorHAnsi" w:cstheme="majorBidi"/>
      <w:b/>
      <w:sz w:val="26"/>
      <w:szCs w:val="26"/>
    </w:rPr>
  </w:style>
  <w:style w:type="paragraph" w:styleId="berschrift3">
    <w:name w:val="heading 3"/>
    <w:basedOn w:val="Standard"/>
    <w:next w:val="Standard"/>
    <w:link w:val="berschrift3Zchn"/>
    <w:uiPriority w:val="3"/>
    <w:qFormat/>
    <w:pPr>
      <w:keepNext/>
      <w:keepLines/>
      <w:numPr>
        <w:ilvl w:val="2"/>
        <w:numId w:val="8"/>
      </w:numPr>
      <w:spacing w:before="240" w:after="240"/>
      <w:jc w:val="left"/>
      <w:outlineLvl w:val="2"/>
    </w:pPr>
    <w:rPr>
      <w:rFonts w:ascii="Calibri" w:eastAsiaTheme="majorEastAsia" w:hAnsi="Calibri" w:cstheme="majorBidi"/>
      <w:b/>
      <w:szCs w:val="24"/>
    </w:rPr>
  </w:style>
  <w:style w:type="paragraph" w:styleId="berschrift4">
    <w:name w:val="heading 4"/>
    <w:basedOn w:val="Standard"/>
    <w:next w:val="Standard"/>
    <w:link w:val="berschrift4Zchn"/>
    <w:uiPriority w:val="3"/>
    <w:qFormat/>
    <w:pPr>
      <w:keepNext/>
      <w:keepLines/>
      <w:numPr>
        <w:ilvl w:val="3"/>
        <w:numId w:val="8"/>
      </w:numPr>
      <w:spacing w:before="240" w:after="240"/>
      <w:jc w:val="left"/>
      <w:outlineLvl w:val="3"/>
    </w:pPr>
    <w:rPr>
      <w:rFonts w:ascii="Calibri" w:eastAsiaTheme="majorEastAsia" w:hAnsi="Calibri" w:cstheme="majorBidi"/>
      <w:b/>
      <w:iCs/>
    </w:rPr>
  </w:style>
  <w:style w:type="paragraph" w:styleId="berschrift5">
    <w:name w:val="heading 5"/>
    <w:basedOn w:val="Standard"/>
    <w:next w:val="Standard"/>
    <w:link w:val="berschrift5Zchn"/>
    <w:uiPriority w:val="3"/>
    <w:qFormat/>
    <w:pPr>
      <w:keepNext/>
      <w:keepLines/>
      <w:numPr>
        <w:ilvl w:val="4"/>
        <w:numId w:val="8"/>
      </w:numPr>
      <w:tabs>
        <w:tab w:val="left" w:pos="1134"/>
      </w:tabs>
      <w:spacing w:before="240" w:after="240"/>
      <w:outlineLvl w:val="4"/>
    </w:pPr>
    <w:rPr>
      <w:rFonts w:asciiTheme="majorHAnsi" w:eastAsiaTheme="majorEastAsia" w:hAnsiTheme="majorHAnsi" w:cstheme="majorBidi"/>
      <w:b/>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4"/>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4"/>
      <w:szCs w:val="21"/>
    </w:rPr>
  </w:style>
  <w:style w:type="paragraph" w:styleId="Untertitel">
    <w:name w:val="Subtitle"/>
    <w:basedOn w:val="Standard"/>
    <w:next w:val="Standard"/>
    <w:link w:val="UntertitelZchn"/>
    <w:uiPriority w:val="11"/>
    <w:semiHidden/>
    <w:qFormat/>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semiHidden/>
    <w:rPr>
      <w:rFonts w:eastAsiaTheme="minorEastAsia"/>
      <w:color w:val="5A5A5A" w:themeColor="text1" w:themeTint="A5"/>
      <w:spacing w:val="15"/>
      <w:sz w:val="24"/>
    </w:rPr>
  </w:style>
  <w:style w:type="character" w:customStyle="1" w:styleId="berschrift1Zchn">
    <w:name w:val="Überschrift 1 Zchn"/>
    <w:basedOn w:val="Absatz-Standardschriftart"/>
    <w:link w:val="berschrift1"/>
    <w:uiPriority w:val="3"/>
    <w:rPr>
      <w:rFonts w:ascii="Calibri" w:eastAsiaTheme="majorEastAsia" w:hAnsi="Calibri" w:cstheme="majorBidi"/>
      <w:b/>
      <w:sz w:val="28"/>
      <w:szCs w:val="32"/>
    </w:rPr>
  </w:style>
  <w:style w:type="paragraph" w:styleId="Listennummer">
    <w:name w:val="List Number"/>
    <w:basedOn w:val="Standard"/>
    <w:semiHidden/>
    <w:pPr>
      <w:tabs>
        <w:tab w:val="num" w:pos="360"/>
      </w:tabs>
      <w:spacing w:line="300" w:lineRule="exact"/>
      <w:ind w:left="360" w:hanging="360"/>
    </w:pPr>
    <w:rPr>
      <w:rFonts w:ascii="Calibri" w:eastAsia="Times New Roman" w:hAnsi="Calibri" w:cs="Times New Roman"/>
      <w:szCs w:val="20"/>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rFonts w:ascii="Calibri" w:eastAsia="Times New Roman" w:hAnsi="Calibri" w:cs="Times New Roman"/>
      <w:sz w:val="20"/>
      <w:szCs w:val="20"/>
      <w:lang w:eastAsia="de-DE"/>
    </w:rPr>
  </w:style>
  <w:style w:type="character" w:customStyle="1" w:styleId="KommentartextZchn">
    <w:name w:val="Kommentartext Zchn"/>
    <w:basedOn w:val="Absatz-Standardschriftart"/>
    <w:link w:val="Kommentartext"/>
    <w:uiPriority w:val="99"/>
    <w:rPr>
      <w:rFonts w:ascii="Calibri" w:eastAsia="Times New Roman" w:hAnsi="Calibri" w:cs="Times New Roman"/>
      <w:sz w:val="20"/>
      <w:szCs w:val="20"/>
      <w:lang w:eastAsia="de-DE"/>
    </w:rPr>
  </w:style>
  <w:style w:type="paragraph" w:styleId="Sprechblasentext">
    <w:name w:val="Balloon Text"/>
    <w:basedOn w:val="Standard"/>
    <w:link w:val="SprechblasentextZchn"/>
    <w:uiPriority w:val="99"/>
    <w:semiHidden/>
    <w:unhideWhenUsed/>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pfzeile">
    <w:name w:val="header"/>
    <w:basedOn w:val="Standard"/>
    <w:link w:val="KopfzeileZchn"/>
    <w:unhideWhenUsed/>
    <w:pPr>
      <w:tabs>
        <w:tab w:val="center" w:pos="4536"/>
        <w:tab w:val="right" w:pos="9072"/>
      </w:tabs>
      <w:spacing w:before="40" w:after="40" w:line="264" w:lineRule="auto"/>
    </w:pPr>
  </w:style>
  <w:style w:type="character" w:customStyle="1" w:styleId="KopfzeileZchn">
    <w:name w:val="Kopfzeile Zchn"/>
    <w:basedOn w:val="Absatz-Standardschriftart"/>
    <w:link w:val="Kopfzeile"/>
    <w:rPr>
      <w:sz w:val="24"/>
    </w:rPr>
  </w:style>
  <w:style w:type="paragraph" w:styleId="Fuzeile">
    <w:name w:val="footer"/>
    <w:basedOn w:val="Standard"/>
    <w:link w:val="FuzeileZchn"/>
    <w:uiPriority w:val="99"/>
    <w:unhideWhenUsed/>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Pr>
      <w:sz w:val="24"/>
    </w:rPr>
  </w:style>
  <w:style w:type="paragraph" w:customStyle="1" w:styleId="Kopfleiste">
    <w:name w:val="Kopfleiste"/>
    <w:basedOn w:val="Standard"/>
    <w:uiPriority w:val="1"/>
    <w:semiHidden/>
    <w:qFormat/>
    <w:pPr>
      <w:spacing w:before="60" w:after="60" w:line="240" w:lineRule="auto"/>
    </w:pPr>
  </w:style>
  <w:style w:type="paragraph" w:styleId="Titel">
    <w:name w:val="Title"/>
    <w:basedOn w:val="Standard"/>
    <w:next w:val="Standard"/>
    <w:link w:val="TitelZchn"/>
    <w:qFormat/>
    <w:pPr>
      <w:spacing w:after="240"/>
      <w:contextualSpacing/>
      <w:jc w:val="center"/>
    </w:pPr>
    <w:rPr>
      <w:rFonts w:ascii="Calibri" w:eastAsiaTheme="majorEastAsia" w:hAnsi="Calibri" w:cstheme="majorBidi"/>
      <w:b/>
      <w:spacing w:val="-10"/>
      <w:kern w:val="28"/>
      <w:sz w:val="52"/>
      <w:szCs w:val="56"/>
    </w:rPr>
  </w:style>
  <w:style w:type="character" w:customStyle="1" w:styleId="TitelZchn">
    <w:name w:val="Titel Zchn"/>
    <w:basedOn w:val="Absatz-Standardschriftart"/>
    <w:link w:val="Titel"/>
    <w:rPr>
      <w:rFonts w:ascii="Calibri" w:eastAsiaTheme="majorEastAsia" w:hAnsi="Calibri" w:cstheme="majorBidi"/>
      <w:b/>
      <w:spacing w:val="-10"/>
      <w:kern w:val="28"/>
      <w:sz w:val="52"/>
      <w:szCs w:val="56"/>
    </w:rPr>
  </w:style>
  <w:style w:type="paragraph" w:customStyle="1" w:styleId="Titelseite">
    <w:name w:val="Titelseite"/>
    <w:basedOn w:val="Standard"/>
    <w:uiPriority w:val="1"/>
    <w:qFormat/>
    <w:pPr>
      <w:spacing w:after="1200"/>
      <w:jc w:val="center"/>
    </w:pPr>
  </w:style>
  <w:style w:type="paragraph" w:styleId="Listenabsatz">
    <w:name w:val="List Paragraph"/>
    <w:basedOn w:val="Standard"/>
    <w:uiPriority w:val="34"/>
    <w:qFormat/>
    <w:pPr>
      <w:ind w:left="720"/>
      <w:contextualSpacing/>
    </w:pPr>
  </w:style>
  <w:style w:type="table" w:styleId="Tabellenraster">
    <w:name w:val="Table Grid"/>
    <w:basedOn w:val="NormaleTabell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Pr>
      <w:rFonts w:ascii="Calibri" w:eastAsia="Times New Roman" w:hAnsi="Calibri" w:cs="Times New Roman"/>
      <w:b/>
      <w:bCs/>
      <w:sz w:val="20"/>
      <w:szCs w:val="20"/>
      <w:lang w:eastAsia="de-DE"/>
    </w:rPr>
  </w:style>
  <w:style w:type="character" w:customStyle="1" w:styleId="berschrift2Zchn">
    <w:name w:val="Überschrift 2 Zchn"/>
    <w:basedOn w:val="Absatz-Standardschriftart"/>
    <w:link w:val="berschrift2"/>
    <w:uiPriority w:val="3"/>
    <w:rPr>
      <w:rFonts w:asciiTheme="majorHAnsi" w:eastAsiaTheme="majorEastAsia" w:hAnsiTheme="majorHAnsi" w:cstheme="majorBidi"/>
      <w:b/>
      <w:sz w:val="26"/>
      <w:szCs w:val="26"/>
    </w:rPr>
  </w:style>
  <w:style w:type="character" w:customStyle="1" w:styleId="berschrift3Zchn">
    <w:name w:val="Überschrift 3 Zchn"/>
    <w:basedOn w:val="Absatz-Standardschriftart"/>
    <w:link w:val="berschrift3"/>
    <w:uiPriority w:val="3"/>
    <w:rPr>
      <w:rFonts w:ascii="Calibri" w:eastAsiaTheme="majorEastAsia" w:hAnsi="Calibri" w:cstheme="majorBidi"/>
      <w:b/>
      <w:sz w:val="24"/>
      <w:szCs w:val="24"/>
    </w:rPr>
  </w:style>
  <w:style w:type="character" w:customStyle="1" w:styleId="berschrift4Zchn">
    <w:name w:val="Überschrift 4 Zchn"/>
    <w:basedOn w:val="Absatz-Standardschriftart"/>
    <w:link w:val="berschrift4"/>
    <w:uiPriority w:val="3"/>
    <w:rPr>
      <w:rFonts w:ascii="Calibri" w:eastAsiaTheme="majorEastAsia" w:hAnsi="Calibri" w:cstheme="majorBidi"/>
      <w:b/>
      <w:iCs/>
      <w:sz w:val="24"/>
    </w:rPr>
  </w:style>
  <w:style w:type="character" w:customStyle="1" w:styleId="berschrift5Zchn">
    <w:name w:val="Überschrift 5 Zchn"/>
    <w:basedOn w:val="Absatz-Standardschriftart"/>
    <w:link w:val="berschrift5"/>
    <w:uiPriority w:val="3"/>
    <w:rPr>
      <w:rFonts w:asciiTheme="majorHAnsi" w:eastAsiaTheme="majorEastAsia" w:hAnsiTheme="majorHAnsi" w:cstheme="majorBidi"/>
      <w:b/>
      <w:sz w:val="24"/>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240"/>
    </w:pPr>
  </w:style>
  <w:style w:type="paragraph" w:styleId="Verzeichnis3">
    <w:name w:val="toc 3"/>
    <w:basedOn w:val="Standard"/>
    <w:next w:val="Standard"/>
    <w:autoRedefine/>
    <w:uiPriority w:val="39"/>
    <w:unhideWhenUsed/>
    <w:pPr>
      <w:spacing w:after="100"/>
      <w:ind w:left="480"/>
    </w:pPr>
  </w:style>
  <w:style w:type="paragraph" w:styleId="Verzeichnis4">
    <w:name w:val="toc 4"/>
    <w:basedOn w:val="Standard"/>
    <w:next w:val="Standard"/>
    <w:autoRedefine/>
    <w:uiPriority w:val="39"/>
    <w:unhideWhenUsed/>
    <w:pPr>
      <w:spacing w:after="100"/>
      <w:ind w:left="720"/>
    </w:pPr>
  </w:style>
  <w:style w:type="character" w:styleId="Hyperlink">
    <w:name w:val="Hyperlink"/>
    <w:basedOn w:val="Absatz-Standardschriftart"/>
    <w:uiPriority w:val="99"/>
    <w:unhideWhenUsed/>
    <w:rPr>
      <w:color w:val="0563C1" w:themeColor="hyperlink"/>
      <w:u w:val="single"/>
    </w:rPr>
  </w:style>
  <w:style w:type="paragraph" w:customStyle="1" w:styleId="Titel2">
    <w:name w:val="Titel2"/>
    <w:basedOn w:val="Titel"/>
    <w:pPr>
      <w:spacing w:before="240" w:line="312" w:lineRule="auto"/>
    </w:pPr>
    <w:rPr>
      <w:spacing w:val="0"/>
      <w:sz w:val="32"/>
      <w:lang w:eastAsia="de-DE"/>
    </w:rPr>
  </w:style>
  <w:style w:type="numbering" w:styleId="1ai">
    <w:name w:val="Outline List 1"/>
    <w:basedOn w:val="KeineListe"/>
    <w:semiHidden/>
    <w:pPr>
      <w:numPr>
        <w:numId w:val="34"/>
      </w:numPr>
    </w:pPr>
  </w:style>
  <w:style w:type="paragraph" w:customStyle="1" w:styleId="Tabelle">
    <w:name w:val="Tabelle"/>
    <w:basedOn w:val="Standard"/>
    <w:uiPriority w:val="3"/>
    <w:qFormat/>
    <w:pPr>
      <w:spacing w:before="40" w:after="40"/>
    </w:pPr>
    <w:rPr>
      <w:rFonts w:ascii="Calibri" w:hAnsi="Calibri" w:cstheme="minorHAnsi"/>
    </w:rPr>
  </w:style>
  <w:style w:type="character" w:styleId="Platzhaltertext">
    <w:name w:val="Placeholder Text"/>
    <w:basedOn w:val="Absatz-Standardschriftart"/>
    <w:uiPriority w:val="99"/>
    <w:semiHidden/>
    <w:rPr>
      <w:color w:val="808080"/>
    </w:rPr>
  </w:style>
  <w:style w:type="paragraph" w:customStyle="1" w:styleId="Bieterangabe">
    <w:name w:val="Bieterangabe"/>
    <w:basedOn w:val="Standard"/>
    <w:next w:val="Standard"/>
    <w:uiPriority w:val="3"/>
    <w:qFormat/>
    <w:pPr>
      <w:pBdr>
        <w:top w:val="single" w:sz="8" w:space="3" w:color="FF0000"/>
        <w:left w:val="single" w:sz="8" w:space="3" w:color="FF0000"/>
        <w:bottom w:val="single" w:sz="8" w:space="3" w:color="FF0000"/>
        <w:right w:val="single" w:sz="8" w:space="3" w:color="FF0000"/>
      </w:pBdr>
    </w:pPr>
  </w:style>
  <w:style w:type="paragraph" w:styleId="Funotentext">
    <w:name w:val="footnote text"/>
    <w:basedOn w:val="Standard"/>
    <w:link w:val="FunotentextZchn"/>
    <w:uiPriority w:val="99"/>
    <w:unhideWhenUsed/>
    <w:pPr>
      <w:spacing w:before="0" w:after="0" w:line="240" w:lineRule="auto"/>
    </w:pPr>
    <w:rPr>
      <w:sz w:val="20"/>
      <w:szCs w:val="20"/>
    </w:rPr>
  </w:style>
  <w:style w:type="character" w:customStyle="1" w:styleId="FunotentextZchn">
    <w:name w:val="Fußnotentext Zchn"/>
    <w:basedOn w:val="Absatz-Standardschriftart"/>
    <w:link w:val="Funotentext"/>
    <w:uiPriority w:val="99"/>
    <w:rPr>
      <w:sz w:val="20"/>
      <w:szCs w:val="20"/>
    </w:rPr>
  </w:style>
  <w:style w:type="character" w:styleId="Funotenzeichen">
    <w:name w:val="footnote reference"/>
    <w:basedOn w:val="Absatz-Standardschriftart"/>
    <w:uiPriority w:val="99"/>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no' ?><Relationships xmlns="http://schemas.openxmlformats.org/package/2006/relationships"><Relationship Id="rId8" Type="http://schemas.openxmlformats.org/officeDocument/2006/relationships/header" Target="header1.xml"></Relationship><Relationship Id="rId13" Type="http://schemas.openxmlformats.org/officeDocument/2006/relationships/footer" Target="footer3.xml"></Relationship><Relationship Id="rId3" Type="http://schemas.openxmlformats.org/officeDocument/2006/relationships/styles" Target="styles.xml"></Relationship><Relationship Id="rId7" Type="http://schemas.openxmlformats.org/officeDocument/2006/relationships/endnotes" Target="endnotes.xml"></Relationship><Relationship Id="rId12" Type="http://schemas.openxmlformats.org/officeDocument/2006/relationships/header" Target="header3.xml"></Relationship><Relationship Id="rId2" Type="http://schemas.openxmlformats.org/officeDocument/2006/relationships/numbering" Target="numbering.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footer" Target="footer2.xml"></Relationship><Relationship Id="rId5" Type="http://schemas.openxmlformats.org/officeDocument/2006/relationships/webSettings" Target="webSettings.xml"></Relationship><Relationship Id="rId15" Type="http://schemas.openxmlformats.org/officeDocument/2006/relationships/theme" Target="theme/theme1.xml"></Relationship><Relationship Id="rId10" Type="http://schemas.openxmlformats.org/officeDocument/2006/relationships/footer" Target="footer1.xml"></Relationship><Relationship Id="rId4" Type="http://schemas.openxmlformats.org/officeDocument/2006/relationships/settings" Target="settings.xml"></Relationship><Relationship Id="rId9" Type="http://schemas.openxmlformats.org/officeDocument/2006/relationships/header" Target="header2.xml"></Relationship><Relationship Id="rId14" Type="http://schemas.openxmlformats.org/officeDocument/2006/relationships/fontTable" Target="fontTable.xml"></Relationship><Relationship Id="rId16" Type="http://schemas.openxmlformats.org/officeDocument/2006/relationships/customXml" Target="../customXml/item2.xml"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PMA-Standard-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DPMA-Designschriftar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ile>

<file path=customXml/itemProps1.xml><?xml version="1.0" encoding="utf-8"?>
<ds:datastoreItem xmlns:ds="http://schemas.openxmlformats.org/officeDocument/2006/customXml" ds:itemID="{33474A40-3180-4E35-B7F8-FC735ED1D83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1083</Words>
  <Characters>6828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DPMA</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Bohn, Bastian Dr.</dc:creator>
  <cp:keywords/>
  <dc:description/>
  <cp:lastModifiedBy>König, Julia</cp:lastModifiedBy>
  <cp:revision>4</cp:revision>
  <cp:lastPrinted>2023-08-07T16:48:00Z</cp:lastPrinted>
  <dcterms:created xsi:type="dcterms:W3CDTF">2024-03-08T07:41:00Z</dcterms:created>
  <dcterms:modified xsi:type="dcterms:W3CDTF">2025-11-04T09:40:00Z</dcterms:modified>
</cp:coreProperties>
</file>

<file path=docProps/custom.xml><?xml version="1.0" encoding="utf-8"?>
<Properties xmlns="http://schemas.openxmlformats.org/officeDocument/2006/custom-properties" xmlns:vt="http://schemas.openxmlformats.org/officeDocument/2006/docPropsVTypes">
  <property name="FSC#BDBCFG@15.1700:InchargeUser" pid="2" fmtid="{D5CDD505-2E9C-101B-9397-08002B2CF9AE}">
    <vt:lpwstr/>
  </property>
  <property name="FSC#BDBCFG@15.1700:InchargeOrganisation" pid="3" fmtid="{D5CDD505-2E9C-101B-9397-08002B2CF9AE}">
    <vt:lpwstr>4.3.4 (Referat 4.3.4)</vt:lpwstr>
  </property>
  <property name="FSC#BDBCFG@15.1700:InchargePosition" pid="4" fmtid="{D5CDD505-2E9C-101B-9397-08002B2CF9AE}">
    <vt:lpwstr/>
  </property>
  <property name="FSC#BDBCFG@15.1700:VS-NfD" pid="5" fmtid="{D5CDD505-2E9C-101B-9397-08002B2CF9AE}">
    <vt:lpwstr/>
  </property>
  <property name="FSC#BDBCFG@15.1700:dpaddrdate" pid="6" fmtid="{D5CDD505-2E9C-101B-9397-08002B2CF9AE}">
    <vt:lpwstr/>
  </property>
  <property name="FSC#BDBCFG@15.1700:SignApprobationBy" pid="7" fmtid="{D5CDD505-2E9C-101B-9397-08002B2CF9AE}">
    <vt:lpwstr/>
  </property>
  <property name="FSC#BDBCFG@15.1700:SignApprobationAt" pid="8" fmtid="{D5CDD505-2E9C-101B-9397-08002B2CF9AE}">
    <vt:lpwstr/>
  </property>
  <property name="FSC#BDBCFG@15.1700:SignApprobationByRole" pid="9" fmtid="{D5CDD505-2E9C-101B-9397-08002B2CF9AE}">
    <vt:lpwstr/>
  </property>
  <property name="FSC#BDBCFG@15.1700:SignApprobationByGroup" pid="10" fmtid="{D5CDD505-2E9C-101B-9397-08002B2CF9AE}">
    <vt:lpwstr/>
  </property>
  <property name="FSC#BDBCFG@15.1700:ProcRespOrgShort" pid="11" fmtid="{D5CDD505-2E9C-101B-9397-08002B2CF9AE}">
    <vt:lpwstr>4.3.4</vt:lpwstr>
  </property>
  <property name="FSC#BDBCFG@15.1700:ProcRespOrgDEMail" pid="12" fmtid="{D5CDD505-2E9C-101B-9397-08002B2CF9AE}">
    <vt:lpwstr/>
  </property>
  <property name="FSC#BDBCFG@15.1700:ProcRespOrgAddrStreet" pid="13" fmtid="{D5CDD505-2E9C-101B-9397-08002B2CF9AE}">
    <vt:lpwstr/>
  </property>
  <property name="FSC#BDBCFG@15.1700:ProcRespOrgAddrStreetnumber" pid="14" fmtid="{D5CDD505-2E9C-101B-9397-08002B2CF9AE}">
    <vt:lpwstr/>
  </property>
  <property name="FSC#BDBCFG@15.1700:ProcRespOrgAddrZipcode" pid="15" fmtid="{D5CDD505-2E9C-101B-9397-08002B2CF9AE}">
    <vt:lpwstr/>
  </property>
  <property name="FSC#BDBCFG@15.1700:ProcRespOrgAddrCity" pid="16" fmtid="{D5CDD505-2E9C-101B-9397-08002B2CF9AE}">
    <vt:lpwstr/>
  </property>
  <property name="FSC#BDBCFG@15.1700:ProcRespOrgAddrPobox" pid="17" fmtid="{D5CDD505-2E9C-101B-9397-08002B2CF9AE}">
    <vt:lpwstr/>
  </property>
  <property name="FSC#BDBCFG@15.1700:AuthorMail2" pid="18" fmtid="{D5CDD505-2E9C-101B-9397-08002B2CF9AE}">
    <vt:lpwstr/>
  </property>
  <property name="FSC#BDBCFG@15.1700:AuthorPhone2" pid="19" fmtid="{D5CDD505-2E9C-101B-9397-08002B2CF9AE}">
    <vt:lpwstr/>
  </property>
  <property name="FSC#BDBCFG@15.1700:OwnerPhone2" pid="20" fmtid="{D5CDD505-2E9C-101B-9397-08002B2CF9AE}">
    <vt:lpwstr/>
  </property>
  <property name="FSC#BDBCFG@15.1700:CurrentUserEmail2" pid="21" fmtid="{D5CDD505-2E9C-101B-9397-08002B2CF9AE}">
    <vt:lpwstr/>
  </property>
  <property name="FSC#BDBCFG@15.1700:OwnerMail1" pid="22" fmtid="{D5CDD505-2E9C-101B-9397-08002B2CF9AE}">
    <vt:lpwstr>Armin.Mueller@dpma.de</vt:lpwstr>
  </property>
  <property name="FSC#BDBCFG@15.1700:OwnerMail2" pid="23" fmtid="{D5CDD505-2E9C-101B-9397-08002B2CF9AE}">
    <vt:lpwstr/>
  </property>
  <property name="FSC#BDBCFG@15.1700:ContentObjectAddress" pid="24" fmtid="{D5CDD505-2E9C-101B-9397-08002B2CF9AE}">
    <vt:lpwstr>COO.7050.100.2.606430</vt:lpwstr>
  </property>
  <property name="FSC#COOELAK@1.1001:Subject" pid="25" fmtid="{D5CDD505-2E9C-101B-9397-08002B2CF9AE}">
    <vt:lpwstr/>
  </property>
  <property name="FSC#COOELAK@1.1001:FileReference" pid="26" fmtid="{D5CDD505-2E9C-101B-9397-08002B2CF9AE}">
    <vt:lpwstr>162301#00001</vt:lpwstr>
  </property>
  <property name="FSC#COOELAK@1.1001:FileRefOU" pid="27" fmtid="{D5CDD505-2E9C-101B-9397-08002B2CF9AE}">
    <vt:lpwstr>4.3.4</vt:lpwstr>
  </property>
  <property name="FSC#COOELAK@1.1001:Owner" pid="28" fmtid="{D5CDD505-2E9C-101B-9397-08002B2CF9AE}">
    <vt:lpwstr>Armin Müller</vt:lpwstr>
  </property>
  <property name="FSC#COOELAK@1.1001:OwnerExtension" pid="29" fmtid="{D5CDD505-2E9C-101B-9397-08002B2CF9AE}">
    <vt:lpwstr/>
  </property>
  <property name="FSC#COOELAK@1.1001:OwnerFaxExtension" pid="30" fmtid="{D5CDD505-2E9C-101B-9397-08002B2CF9AE}">
    <vt:lpwstr/>
  </property>
  <property name="FSC#COOELAK@1.1001:DispatchedBy" pid="31" fmtid="{D5CDD505-2E9C-101B-9397-08002B2CF9AE}">
    <vt:lpwstr/>
  </property>
  <property name="FSC#COOELAK@1.1001:DispatchedAt" pid="32" fmtid="{D5CDD505-2E9C-101B-9397-08002B2CF9AE}">
    <vt:lpwstr/>
  </property>
  <property name="FSC#COOELAK@1.1001:CreatedAt" pid="33" fmtid="{D5CDD505-2E9C-101B-9397-08002B2CF9AE}">
    <vt:lpwstr>22.06.2026</vt:lpwstr>
  </property>
  <property name="FSC#COOELAK@1.1001:OU" pid="34" fmtid="{D5CDD505-2E9C-101B-9397-08002B2CF9AE}">
    <vt:lpwstr>4.3.4 (Referat 4.3.4)</vt:lpwstr>
  </property>
  <property name="FSC#COOELAK@1.1001:ObjBarCode" pid="35" fmtid="{D5CDD505-2E9C-101B-9397-08002B2CF9AE}">
    <vt:lpwstr>*COO.7050.100.2.606430*</vt:lpwstr>
  </property>
  <property name="FSC#COOELAK@1.1001:RefBarCode" pid="36" fmtid="{D5CDD505-2E9C-101B-9397-08002B2CF9AE}">
    <vt:lpwstr>*COO.7050.100.2.568120*</vt:lpwstr>
  </property>
  <property name="FSC#COOELAK@1.1001:FileRefBarCode" pid="37" fmtid="{D5CDD505-2E9C-101B-9397-08002B2CF9AE}">
    <vt:lpwstr>*162301#00001*</vt:lpwstr>
  </property>
  <property name="FSC#COOELAK@1.1001:ExternalRef" pid="38" fmtid="{D5CDD505-2E9C-101B-9397-08002B2CF9AE}">
    <vt:lpwstr/>
  </property>
  <property name="FSC#COOELAK@1.1001:CurrentUserRolePos" pid="39" fmtid="{D5CDD505-2E9C-101B-9397-08002B2CF9AE}">
    <vt:lpwstr>Mitarbeiter*in</vt:lpwstr>
  </property>
  <property name="FSC#COOELAK@1.1001:CurrentUserEmail" pid="40" fmtid="{D5CDD505-2E9C-101B-9397-08002B2CF9AE}">
    <vt:lpwstr>Armin.Mueller@dpma.de</vt:lpwstr>
  </property>
  <property name="FSC#ATSTATECFG@1.1001:Office" pid="41" fmtid="{D5CDD505-2E9C-101B-9397-08002B2CF9AE}">
    <vt:lpwstr/>
  </property>
  <property name="FSC#ATSTATECFG@1.1001:SubfileDate" pid="42" fmtid="{D5CDD505-2E9C-101B-9397-08002B2CF9AE}">
    <vt:lpwstr>20.04.2026</vt:lpwstr>
  </property>
  <property name="FSC#ATSTATECFG@1.1001:SubfileSubject" pid="43" fmtid="{D5CDD505-2E9C-101B-9397-08002B2CF9AE}">
    <vt:lpwstr/>
  </property>
  <property name="FSC#ATSTATECFG@1.1001:SubfileReference" pid="44" fmtid="{D5CDD505-2E9C-101B-9397-08002B2CF9AE}">
    <vt:lpwstr>162301#00001#0028#0005</vt:lpwstr>
  </property>
  <property name="FSC#COOELAK@1.1001:replyreference" pid="45" fmtid="{D5CDD505-2E9C-101B-9397-08002B2CF9AE}">
    <vt:lpwstr/>
  </property>
  <property name="FSC#COOELAK@1.1001:FileRefOULong" pid="46" fmtid="{D5CDD505-2E9C-101B-9397-08002B2CF9AE}">
    <vt:lpwstr>Referat 4.3.4</vt:lpwstr>
  </property>
  <property name="FSC#FSCGOVDE@1.1001:ProcedureReference" pid="47" fmtid="{D5CDD505-2E9C-101B-9397-08002B2CF9AE}">
    <vt:lpwstr>162301#00001#0028</vt:lpwstr>
  </property>
  <property name="FSC#FSCGOVDE@1.1001:FileSubject" pid="48" fmtid="{D5CDD505-2E9C-101B-9397-08002B2CF9AE}">
    <vt:lpwstr/>
  </property>
  <property name="FSC#FSCGOVDE@1.1001:ProcedureSubject" pid="49" fmtid="{D5CDD505-2E9C-101B-9397-08002B2CF9AE}">
    <vt:lpwstr>2.4.1_x000d__x000a_ </vt:lpwstr>
  </property>
  <property name="FSC#FSCGOVDE@1.1001:SignFinalVersionBy" pid="50" fmtid="{D5CDD505-2E9C-101B-9397-08002B2CF9AE}">
    <vt:lpwstr/>
  </property>
  <property name="FSC#FSCGOVDE@1.1001:SignFinalVersionAt" pid="51" fmtid="{D5CDD505-2E9C-101B-9397-08002B2CF9AE}">
    <vt:lpwstr/>
  </property>
  <property name="FSC#FSCGOVDE@1.1001:ProcedureRefBarCode" pid="52" fmtid="{D5CDD505-2E9C-101B-9397-08002B2CF9AE}">
    <vt:lpwstr>162301#00001#0028</vt:lpwstr>
  </property>
  <property name="FSC#FSCGOVDE@1.1001:DocumentSubj" pid="53" fmtid="{D5CDD505-2E9C-101B-9397-08002B2CF9AE}">
    <vt:lpwstr/>
  </property>
  <property name="FSC#DEPRECONFIG@15.1001:DocumentTitle" pid="54" fmtid="{D5CDD505-2E9C-101B-9397-08002B2CF9AE}">
    <vt:lpwstr>14 - Vergabeunterlagen Veröffentlichung</vt:lpwstr>
  </property>
  <property name="FSC#DEPRECONFIG@15.1001:ProcedureTitle" pid="55" fmtid="{D5CDD505-2E9C-101B-9397-08002B2CF9AE}">
    <vt:lpwstr>BUL 55/25 Dienstleistungen Fachsysteme</vt:lpwstr>
  </property>
  <property name="FSC#DEPRECONFIG@15.1001:AuthorTitle" pid="56" fmtid="{D5CDD505-2E9C-101B-9397-08002B2CF9AE}">
    <vt:lpwstr/>
  </property>
  <property name="FSC#DEPRECONFIG@15.1001:AuthorSalution" pid="57" fmtid="{D5CDD505-2E9C-101B-9397-08002B2CF9AE}">
    <vt:lpwstr/>
  </property>
  <property name="FSC#DEPRECONFIG@15.1001:AuthorName" pid="58" fmtid="{D5CDD505-2E9C-101B-9397-08002B2CF9AE}">
    <vt:lpwstr>Armin Müller</vt:lpwstr>
  </property>
  <property name="FSC#DEPRECONFIG@15.1001:AuthorMail" pid="59" fmtid="{D5CDD505-2E9C-101B-9397-08002B2CF9AE}">
    <vt:lpwstr>Armin.Mueller@dpma.de</vt:lpwstr>
  </property>
  <property name="FSC#DEPRECONFIG@15.1001:AuthorTelephone" pid="60" fmtid="{D5CDD505-2E9C-101B-9397-08002B2CF9AE}">
    <vt:lpwstr/>
  </property>
  <property name="FSC#DEPRECONFIG@15.1001:AuthorFax" pid="61" fmtid="{D5CDD505-2E9C-101B-9397-08002B2CF9AE}">
    <vt:lpwstr/>
  </property>
  <property name="FSC#DEPRECONFIG@15.1001:AuthorOE" pid="62" fmtid="{D5CDD505-2E9C-101B-9397-08002B2CF9AE}">
    <vt:lpwstr>4.3.4 (Referat 4.3.4)</vt:lpwstr>
  </property>
</Properties>
</file>