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521D" w14:textId="77777777" w:rsidR="008743F0" w:rsidRPr="00366D82" w:rsidRDefault="008743F0" w:rsidP="008743F0">
      <w:pPr>
        <w:pStyle w:val="Kopfzeile"/>
        <w:rPr>
          <w:rFonts w:ascii="Source Sans Pro" w:hAnsi="Source Sans Pro"/>
          <w:sz w:val="16"/>
        </w:rPr>
      </w:pPr>
    </w:p>
    <w:p w14:paraId="2A1338AC" w14:textId="48E55588" w:rsidR="008743F0" w:rsidRPr="00366D82" w:rsidRDefault="008743F0" w:rsidP="008743F0">
      <w:pPr>
        <w:spacing w:line="360" w:lineRule="auto"/>
        <w:jc w:val="right"/>
        <w:rPr>
          <w:rFonts w:ascii="Source Sans Pro" w:hAnsi="Source Sans Pro" w:cs="Arial"/>
          <w:sz w:val="40"/>
          <w:szCs w:val="40"/>
          <w:u w:val="single"/>
        </w:rPr>
      </w:pPr>
      <w:r w:rsidRPr="00366D82">
        <w:rPr>
          <w:rFonts w:ascii="Source Sans Pro" w:hAnsi="Source Sans Pro" w:cs="Arial"/>
          <w:sz w:val="40"/>
          <w:szCs w:val="40"/>
          <w:u w:val="single"/>
        </w:rPr>
        <w:t xml:space="preserve">Anlage </w:t>
      </w:r>
      <w:r w:rsidR="00935982" w:rsidRPr="00366D82">
        <w:rPr>
          <w:rFonts w:ascii="Source Sans Pro" w:hAnsi="Source Sans Pro" w:cs="Arial"/>
          <w:sz w:val="40"/>
          <w:szCs w:val="40"/>
          <w:u w:val="single"/>
        </w:rPr>
        <w:t>05</w:t>
      </w:r>
    </w:p>
    <w:p w14:paraId="7A42F22E" w14:textId="7EF06E9B" w:rsidR="008743F0" w:rsidRPr="00366D82" w:rsidRDefault="008743F0" w:rsidP="008743F0">
      <w:pPr>
        <w:spacing w:line="360" w:lineRule="auto"/>
        <w:jc w:val="center"/>
        <w:rPr>
          <w:rFonts w:ascii="Source Sans Pro" w:hAnsi="Source Sans Pro" w:cs="Arial"/>
          <w:b/>
          <w:sz w:val="36"/>
        </w:rPr>
      </w:pPr>
      <w:r w:rsidRPr="00366D82">
        <w:rPr>
          <w:rFonts w:ascii="Source Sans Pro" w:hAnsi="Source Sans Pro" w:cs="Arial"/>
          <w:b/>
          <w:sz w:val="36"/>
        </w:rPr>
        <w:t>Preistabelle</w:t>
      </w:r>
    </w:p>
    <w:p w14:paraId="7DDC1707" w14:textId="23D0021E" w:rsidR="00444B4A" w:rsidRPr="00366D82" w:rsidRDefault="005A304B" w:rsidP="00121F5C">
      <w:pPr>
        <w:rPr>
          <w:rFonts w:ascii="Source Sans Pro" w:hAnsi="Source Sans Pro" w:cs="Arial"/>
          <w:b/>
          <w:sz w:val="22"/>
          <w:szCs w:val="22"/>
        </w:rPr>
      </w:pPr>
      <w:bookmarkStart w:id="0" w:name="OLE_LINK1"/>
      <w:r w:rsidRPr="005A304B">
        <w:rPr>
          <w:rFonts w:ascii="Source Sans Pro" w:hAnsi="Source Sans Pro" w:cs="Arial"/>
          <w:b/>
          <w:sz w:val="22"/>
          <w:szCs w:val="22"/>
        </w:rPr>
        <w:t>Instandsetzungs- und Erweiterungsarbeiten an passiven Netzwerkkomponenten</w:t>
      </w:r>
      <w:r w:rsidRPr="005A304B">
        <w:rPr>
          <w:rFonts w:ascii="Source Sans Pro" w:hAnsi="Source Sans Pro" w:cs="Arial"/>
          <w:b/>
          <w:sz w:val="22"/>
          <w:szCs w:val="22"/>
        </w:rPr>
        <w:t xml:space="preserve"> </w:t>
      </w:r>
      <w:r w:rsidR="008743F0" w:rsidRPr="00366D82">
        <w:rPr>
          <w:rFonts w:ascii="Source Sans Pro" w:hAnsi="Source Sans Pro" w:cs="Arial"/>
          <w:b/>
          <w:sz w:val="22"/>
          <w:szCs w:val="22"/>
        </w:rPr>
        <w:t xml:space="preserve">Vergabe-Nr. </w:t>
      </w:r>
      <w:r>
        <w:rPr>
          <w:rFonts w:ascii="Source Sans Pro" w:hAnsi="Source Sans Pro" w:cs="Arial"/>
          <w:b/>
          <w:sz w:val="22"/>
          <w:szCs w:val="22"/>
        </w:rPr>
        <w:t>119</w:t>
      </w:r>
      <w:r w:rsidR="008743F0" w:rsidRPr="00366D82">
        <w:rPr>
          <w:rFonts w:ascii="Source Sans Pro" w:hAnsi="Source Sans Pro" w:cs="Arial"/>
          <w:b/>
          <w:sz w:val="22"/>
          <w:szCs w:val="22"/>
        </w:rPr>
        <w:t>/20</w:t>
      </w:r>
      <w:r w:rsidR="00444B4A" w:rsidRPr="00366D82">
        <w:rPr>
          <w:rFonts w:ascii="Source Sans Pro" w:hAnsi="Source Sans Pro" w:cs="Arial"/>
          <w:b/>
          <w:sz w:val="22"/>
          <w:szCs w:val="22"/>
        </w:rPr>
        <w:t>2</w:t>
      </w:r>
      <w:r w:rsidR="00565FCF">
        <w:rPr>
          <w:rFonts w:ascii="Source Sans Pro" w:hAnsi="Source Sans Pro" w:cs="Arial"/>
          <w:b/>
          <w:sz w:val="22"/>
          <w:szCs w:val="22"/>
        </w:rPr>
        <w:t>6</w:t>
      </w:r>
    </w:p>
    <w:p w14:paraId="5DB4F9D2" w14:textId="23BDC95D" w:rsidR="008743F0" w:rsidRPr="00366D82" w:rsidRDefault="008743F0" w:rsidP="008743F0">
      <w:pPr>
        <w:rPr>
          <w:rFonts w:ascii="Source Sans Pro" w:hAnsi="Source Sans Pro"/>
        </w:rPr>
      </w:pPr>
    </w:p>
    <w:p w14:paraId="46EA5AFB" w14:textId="77777777" w:rsidR="008743F0" w:rsidRPr="00366D82" w:rsidRDefault="008743F0" w:rsidP="008743F0">
      <w:pPr>
        <w:pStyle w:val="Kopfzeile"/>
        <w:rPr>
          <w:rFonts w:ascii="Source Sans Pro" w:hAnsi="Source Sans Pro" w:cs="Arial"/>
          <w:b/>
          <w:sz w:val="22"/>
          <w:szCs w:val="22"/>
        </w:rPr>
      </w:pPr>
      <w:r w:rsidRPr="00366D82">
        <w:rPr>
          <w:rFonts w:ascii="Source Sans Pro" w:hAnsi="Source Sans Pro" w:cs="Arial"/>
          <w:b/>
          <w:sz w:val="22"/>
          <w:szCs w:val="22"/>
        </w:rPr>
        <w:t>Name des Bieters: ________________________________________________________</w:t>
      </w:r>
    </w:p>
    <w:p w14:paraId="07AB1E7B" w14:textId="77777777" w:rsidR="008743F0" w:rsidRPr="00366D82" w:rsidRDefault="008743F0" w:rsidP="008743F0">
      <w:pPr>
        <w:rPr>
          <w:rFonts w:ascii="Source Sans Pro" w:hAnsi="Source Sans Pro" w:cs="Arial"/>
        </w:rPr>
      </w:pPr>
    </w:p>
    <w:bookmarkEnd w:id="0"/>
    <w:p w14:paraId="209EDE6E" w14:textId="19AC4A29" w:rsidR="005F0436" w:rsidRDefault="008743F0" w:rsidP="008743F0">
      <w:pPr>
        <w:rPr>
          <w:rFonts w:ascii="Source Sans Pro" w:hAnsi="Source Sans Pro" w:cs="Arial"/>
          <w:i/>
          <w:sz w:val="18"/>
        </w:rPr>
      </w:pPr>
      <w:r w:rsidRPr="00366D82">
        <w:rPr>
          <w:rFonts w:ascii="Source Sans Pro" w:hAnsi="Source Sans Pro" w:cs="Arial"/>
          <w:i/>
          <w:sz w:val="18"/>
        </w:rPr>
        <w:t>Felder ohne Preisnennung oder Bemerkung sind nicht berücksichtigungsfähig. Etwaige Preisangaben nach Zuschlag, die hier nicht explizit genannt sind, können nachträglich nicht mehr erfasst werden.</w:t>
      </w:r>
      <w:r w:rsidR="00565FCF">
        <w:rPr>
          <w:rFonts w:ascii="Source Sans Pro" w:hAnsi="Source Sans Pro" w:cs="Arial"/>
          <w:i/>
          <w:sz w:val="18"/>
        </w:rPr>
        <w:t xml:space="preserve"> </w:t>
      </w:r>
      <w:r w:rsidR="005F0436">
        <w:rPr>
          <w:rFonts w:ascii="Source Sans Pro" w:hAnsi="Source Sans Pro" w:cs="Arial"/>
          <w:i/>
          <w:sz w:val="18"/>
        </w:rPr>
        <w:t xml:space="preserve"> </w:t>
      </w:r>
    </w:p>
    <w:p w14:paraId="63E7D89A" w14:textId="77777777" w:rsidR="00565FCF" w:rsidRDefault="00565FCF" w:rsidP="008743F0">
      <w:pPr>
        <w:rPr>
          <w:rFonts w:ascii="Source Sans Pro" w:hAnsi="Source Sans Pro" w:cs="Arial"/>
          <w:i/>
          <w:sz w:val="18"/>
        </w:rPr>
      </w:pPr>
    </w:p>
    <w:p w14:paraId="138FB789" w14:textId="753309E2" w:rsidR="00565FCF" w:rsidRPr="00366D82" w:rsidRDefault="00565FCF" w:rsidP="008743F0">
      <w:pPr>
        <w:rPr>
          <w:rFonts w:ascii="Source Sans Pro" w:hAnsi="Source Sans Pro" w:cs="Arial"/>
          <w:i/>
          <w:sz w:val="18"/>
        </w:rPr>
      </w:pPr>
      <w:r w:rsidRPr="00565FCF">
        <w:rPr>
          <w:rFonts w:ascii="Source Sans Pro" w:hAnsi="Source Sans Pro" w:cs="Arial"/>
          <w:i/>
          <w:sz w:val="18"/>
        </w:rPr>
        <w:t>Vermeiden Sie in jedem Fall Modifikationen der Preistabelle, da dies in der Regel zum Ausschluss des Bieters führt</w:t>
      </w:r>
      <w:r>
        <w:rPr>
          <w:rFonts w:ascii="Source Sans Pro" w:hAnsi="Source Sans Pro" w:cs="Arial"/>
          <w:i/>
          <w:sz w:val="18"/>
        </w:rPr>
        <w:t>.</w:t>
      </w:r>
    </w:p>
    <w:p w14:paraId="16942122" w14:textId="1387F08D" w:rsidR="00984D5B" w:rsidRDefault="00984D5B">
      <w:pPr>
        <w:rPr>
          <w:rFonts w:ascii="Source Sans Pro" w:hAnsi="Source Sans Pro" w:cs="Arial"/>
          <w:sz w:val="20"/>
        </w:rPr>
      </w:pPr>
    </w:p>
    <w:p w14:paraId="7A2F6B0B" w14:textId="569DCD8F" w:rsidR="00565FCF" w:rsidRPr="00366D82" w:rsidRDefault="00565FCF">
      <w:pPr>
        <w:rPr>
          <w:rFonts w:ascii="Source Sans Pro" w:hAnsi="Source Sans Pro" w:cs="Arial"/>
          <w:sz w:val="20"/>
        </w:rPr>
      </w:pPr>
      <w:r w:rsidRPr="00E02AF5">
        <w:rPr>
          <w:rFonts w:ascii="Source Sans Pro" w:hAnsi="Source Sans Pro" w:cs="Arial"/>
          <w:sz w:val="22"/>
          <w:szCs w:val="22"/>
        </w:rPr>
        <w:t xml:space="preserve">Es sind ausschließlich </w:t>
      </w:r>
      <w:r w:rsidRPr="00E02AF5">
        <w:rPr>
          <w:rFonts w:ascii="Source Sans Pro" w:hAnsi="Source Sans Pro" w:cs="Arial"/>
          <w:b/>
          <w:sz w:val="22"/>
          <w:szCs w:val="22"/>
        </w:rPr>
        <w:t>Netto</w:t>
      </w:r>
      <w:r w:rsidRPr="00E02AF5">
        <w:rPr>
          <w:rFonts w:ascii="Source Sans Pro" w:hAnsi="Source Sans Pro" w:cs="Arial"/>
          <w:sz w:val="22"/>
          <w:szCs w:val="22"/>
        </w:rPr>
        <w:t>preise in Euro anzugeben</w:t>
      </w:r>
      <w:r>
        <w:rPr>
          <w:rFonts w:ascii="Source Sans Pro" w:hAnsi="Source Sans Pro" w:cs="Arial"/>
          <w:sz w:val="22"/>
          <w:szCs w:val="22"/>
        </w:rPr>
        <w:t>.</w:t>
      </w:r>
    </w:p>
    <w:p w14:paraId="6124199A" w14:textId="79D751B5" w:rsidR="008743F0" w:rsidRPr="00366D82" w:rsidRDefault="008743F0">
      <w:pPr>
        <w:rPr>
          <w:rFonts w:ascii="Source Sans Pro" w:hAnsi="Source Sans Pro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2"/>
      </w:tblGrid>
      <w:tr w:rsidR="008743F0" w:rsidRPr="00D95748" w14:paraId="000D266E" w14:textId="77777777" w:rsidTr="002611D6">
        <w:tc>
          <w:tcPr>
            <w:tcW w:w="8642" w:type="dxa"/>
          </w:tcPr>
          <w:p w14:paraId="51715D8E" w14:textId="07E3AB5C" w:rsidR="008743F0" w:rsidRPr="008F5DC0" w:rsidRDefault="008743F0" w:rsidP="00494224">
            <w:pPr>
              <w:rPr>
                <w:rFonts w:ascii="Source Sans Pro" w:hAnsi="Source Sans Pro" w:cs="Arial"/>
                <w:b/>
                <w:sz w:val="20"/>
              </w:rPr>
            </w:pPr>
            <w:r w:rsidRPr="008F5DC0">
              <w:rPr>
                <w:rFonts w:ascii="Source Sans Pro" w:hAnsi="Source Sans Pro" w:cs="Arial"/>
                <w:b/>
                <w:sz w:val="20"/>
              </w:rPr>
              <w:t xml:space="preserve">Der Tagessatz </w:t>
            </w:r>
            <w:r w:rsidR="002611D6">
              <w:rPr>
                <w:rFonts w:ascii="Source Sans Pro" w:hAnsi="Source Sans Pro" w:cs="Arial"/>
                <w:b/>
                <w:sz w:val="20"/>
              </w:rPr>
              <w:t xml:space="preserve">(falls zutreffend) </w:t>
            </w:r>
            <w:r w:rsidRPr="008F5DC0">
              <w:rPr>
                <w:rFonts w:ascii="Source Sans Pro" w:hAnsi="Source Sans Pro" w:cs="Arial"/>
                <w:b/>
                <w:sz w:val="20"/>
              </w:rPr>
              <w:t xml:space="preserve">umfasst 8 Arbeitsstunden. </w:t>
            </w:r>
            <w:r w:rsidR="00A33922" w:rsidRPr="008F5DC0">
              <w:rPr>
                <w:rFonts w:ascii="Source Sans Pro" w:hAnsi="Source Sans Pro" w:cs="Arial"/>
                <w:b/>
                <w:sz w:val="20"/>
              </w:rPr>
              <w:t>Abgerechnet wird pro angefangene 15 Minuten.</w:t>
            </w:r>
            <w:r w:rsidR="00A33922">
              <w:rPr>
                <w:rFonts w:ascii="Source Sans Pro" w:hAnsi="Source Sans Pro" w:cs="Arial"/>
                <w:b/>
                <w:sz w:val="20"/>
              </w:rPr>
              <w:t xml:space="preserve"> </w:t>
            </w:r>
            <w:r w:rsidRPr="008F5DC0">
              <w:rPr>
                <w:rFonts w:ascii="Source Sans Pro" w:hAnsi="Source Sans Pro" w:cs="Arial"/>
                <w:b/>
                <w:sz w:val="20"/>
              </w:rPr>
              <w:t>Bzgl. Pausen siehe Ziffer 9.2.4 EVB-IT Dienstleistungs-AGB bleibt unberührt.</w:t>
            </w:r>
          </w:p>
          <w:p w14:paraId="051EEB54" w14:textId="77777777" w:rsidR="008743F0" w:rsidRPr="008F5DC0" w:rsidRDefault="008743F0" w:rsidP="00494224">
            <w:pPr>
              <w:rPr>
                <w:rFonts w:ascii="Source Sans Pro" w:hAnsi="Source Sans Pro" w:cs="Arial"/>
                <w:b/>
                <w:sz w:val="20"/>
              </w:rPr>
            </w:pPr>
          </w:p>
          <w:p w14:paraId="1257BA2A" w14:textId="6F257C79" w:rsidR="008743F0" w:rsidRPr="008F5DC0" w:rsidRDefault="00565FCF" w:rsidP="00494224">
            <w:pPr>
              <w:rPr>
                <w:rFonts w:ascii="Source Sans Pro" w:hAnsi="Source Sans Pro" w:cs="Arial"/>
                <w:b/>
                <w:sz w:val="20"/>
              </w:rPr>
            </w:pPr>
            <w:r w:rsidRPr="00565FCF">
              <w:rPr>
                <w:rFonts w:ascii="Source Sans Pro" w:hAnsi="Source Sans Pro" w:cs="Arial"/>
                <w:b/>
                <w:sz w:val="20"/>
              </w:rPr>
              <w:t>Generell sind alle Fahrt- und Nebenkosten in den Preisangaben zu allen Punkten der Preistabelle zu inkludieren – weitere Kosten zur Auftragsdurchführung außerhalb der Preistabelle können vom DAAD nicht separat übernommen werden</w:t>
            </w:r>
            <w:r w:rsidR="008743F0" w:rsidRPr="008F5DC0">
              <w:rPr>
                <w:rFonts w:ascii="Source Sans Pro" w:hAnsi="Source Sans Pro" w:cs="Arial"/>
                <w:b/>
                <w:sz w:val="20"/>
              </w:rPr>
              <w:t>.</w:t>
            </w:r>
            <w:r w:rsidR="002611D6">
              <w:rPr>
                <w:rFonts w:ascii="Source Sans Pro" w:hAnsi="Source Sans Pro" w:cs="Arial"/>
                <w:b/>
                <w:sz w:val="20"/>
              </w:rPr>
              <w:t xml:space="preserve"> </w:t>
            </w:r>
            <w:r w:rsidR="002611D6" w:rsidRPr="002611D6">
              <w:rPr>
                <w:rFonts w:ascii="Source Sans Pro" w:hAnsi="Source Sans Pro" w:cs="Arial"/>
                <w:b/>
                <w:sz w:val="20"/>
              </w:rPr>
              <w:t>Die Materialkosten, insbesondere für Ersatzmaterial, werden auf Basis einer Einzelabrechnung vergütet und sind in der jeweiligen Rechnung separat von den Stundensätzen auszuweisen</w:t>
            </w:r>
            <w:r w:rsidR="002611D6">
              <w:rPr>
                <w:rFonts w:ascii="Source Sans Pro" w:hAnsi="Source Sans Pro" w:cs="Arial"/>
                <w:b/>
                <w:sz w:val="20"/>
              </w:rPr>
              <w:t xml:space="preserve"> (</w:t>
            </w:r>
            <w:r w:rsidR="002611D6" w:rsidRPr="008F5DC0">
              <w:rPr>
                <w:rFonts w:ascii="Source Sans Pro" w:hAnsi="Source Sans Pro" w:cs="Arial"/>
                <w:b/>
                <w:sz w:val="20"/>
              </w:rPr>
              <w:t>siehe</w:t>
            </w:r>
            <w:r w:rsidR="002611D6">
              <w:rPr>
                <w:rFonts w:ascii="Source Sans Pro" w:hAnsi="Source Sans Pro" w:cs="Arial"/>
                <w:b/>
                <w:sz w:val="20"/>
              </w:rPr>
              <w:t xml:space="preserve"> 4.1.3 des </w:t>
            </w:r>
            <w:r w:rsidR="002611D6" w:rsidRPr="008F5DC0">
              <w:rPr>
                <w:rFonts w:ascii="Source Sans Pro" w:hAnsi="Source Sans Pro" w:cs="Arial"/>
                <w:b/>
                <w:sz w:val="20"/>
              </w:rPr>
              <w:t>EVB-IT Dienstleistungs</w:t>
            </w:r>
            <w:r w:rsidR="002611D6">
              <w:rPr>
                <w:rFonts w:ascii="Source Sans Pro" w:hAnsi="Source Sans Pro" w:cs="Arial"/>
                <w:b/>
                <w:sz w:val="20"/>
              </w:rPr>
              <w:t>vertrages).</w:t>
            </w:r>
          </w:p>
          <w:p w14:paraId="4A8DA51D" w14:textId="77777777" w:rsidR="008743F0" w:rsidRPr="008F5DC0" w:rsidRDefault="008743F0" w:rsidP="00494224">
            <w:pPr>
              <w:rPr>
                <w:rFonts w:ascii="Source Sans Pro" w:hAnsi="Source Sans Pro" w:cs="Arial"/>
                <w:b/>
                <w:sz w:val="20"/>
              </w:rPr>
            </w:pPr>
          </w:p>
          <w:p w14:paraId="35EA7EBF" w14:textId="2C024266" w:rsidR="008743F0" w:rsidRPr="00D95748" w:rsidRDefault="002611D6" w:rsidP="002611D6">
            <w:pPr>
              <w:rPr>
                <w:rFonts w:ascii="Source Sans Pro" w:hAnsi="Source Sans Pro" w:cs="Arial"/>
                <w:sz w:val="20"/>
              </w:rPr>
            </w:pPr>
            <w:r w:rsidRPr="002611D6">
              <w:rPr>
                <w:rFonts w:ascii="Source Sans Pro" w:hAnsi="Source Sans Pro" w:cs="Arial"/>
                <w:b/>
                <w:sz w:val="20"/>
              </w:rPr>
              <w:t xml:space="preserve">Der Stundensatz wird zur Bewertung der Angebote </w:t>
            </w:r>
            <w:r w:rsidRPr="002611D6">
              <w:rPr>
                <w:rFonts w:ascii="Source Sans Pro" w:hAnsi="Source Sans Pro" w:cs="Arial"/>
                <w:b/>
                <w:sz w:val="20"/>
              </w:rPr>
              <w:t>abz</w:t>
            </w:r>
            <w:r>
              <w:rPr>
                <w:rFonts w:ascii="Source Sans Pro" w:hAnsi="Source Sans Pro" w:cs="Arial"/>
                <w:b/>
                <w:sz w:val="20"/>
              </w:rPr>
              <w:t>gl.</w:t>
            </w:r>
            <w:r w:rsidRPr="002611D6">
              <w:rPr>
                <w:rFonts w:ascii="Source Sans Pro" w:hAnsi="Source Sans Pro" w:cs="Arial"/>
                <w:b/>
                <w:sz w:val="20"/>
              </w:rPr>
              <w:t xml:space="preserve"> Skonto berücksichtigt</w:t>
            </w:r>
            <w:r>
              <w:rPr>
                <w:rFonts w:ascii="Source Sans Pro" w:hAnsi="Source Sans Pro" w:cs="Arial"/>
                <w:b/>
                <w:sz w:val="20"/>
              </w:rPr>
              <w:t>.</w:t>
            </w:r>
          </w:p>
        </w:tc>
      </w:tr>
    </w:tbl>
    <w:p w14:paraId="27FADB07" w14:textId="77777777" w:rsidR="008743F0" w:rsidRPr="00D95748" w:rsidRDefault="008743F0">
      <w:pPr>
        <w:rPr>
          <w:rFonts w:ascii="Source Sans Pro" w:hAnsi="Source Sans Pro" w:cs="Arial"/>
          <w:sz w:val="20"/>
        </w:rPr>
      </w:pPr>
    </w:p>
    <w:p w14:paraId="15315CED" w14:textId="77777777" w:rsidR="00D751A5" w:rsidRPr="00366D82" w:rsidRDefault="00D751A5" w:rsidP="00D751A5">
      <w:pPr>
        <w:widowControl w:val="0"/>
        <w:spacing w:after="120"/>
        <w:ind w:left="360" w:hanging="360"/>
        <w:jc w:val="both"/>
        <w:outlineLvl w:val="1"/>
        <w:rPr>
          <w:rFonts w:ascii="Source Sans Pro" w:hAnsi="Source Sans Pro"/>
          <w:b/>
          <w:bCs/>
          <w:sz w:val="22"/>
          <w:szCs w:val="22"/>
          <w:lang w:eastAsia="ar-SA"/>
        </w:rPr>
      </w:pPr>
      <w:bookmarkStart w:id="1" w:name="_Toc94869031"/>
      <w:r w:rsidRPr="00366D82">
        <w:rPr>
          <w:rFonts w:ascii="Source Sans Pro" w:hAnsi="Source Sans Pro"/>
          <w:b/>
          <w:bCs/>
          <w:sz w:val="22"/>
          <w:szCs w:val="22"/>
          <w:lang w:eastAsia="ar-SA"/>
        </w:rPr>
        <w:t>Vereinbarte Service-Level</w:t>
      </w:r>
      <w:bookmarkEnd w:id="1"/>
    </w:p>
    <w:p w14:paraId="21C6A7C6" w14:textId="77777777" w:rsidR="00D751A5" w:rsidRPr="00366D82" w:rsidRDefault="00D751A5" w:rsidP="00565FCF">
      <w:pPr>
        <w:widowControl w:val="0"/>
        <w:tabs>
          <w:tab w:val="left" w:pos="1276"/>
        </w:tabs>
        <w:jc w:val="both"/>
        <w:rPr>
          <w:rFonts w:ascii="Source Sans Pro" w:hAnsi="Source Sans Pro" w:cs="Arial"/>
          <w:sz w:val="22"/>
          <w:szCs w:val="22"/>
          <w:lang w:eastAsia="ar-SA"/>
        </w:rPr>
      </w:pPr>
      <w:r w:rsidRPr="00366D82">
        <w:rPr>
          <w:rFonts w:ascii="Source Sans Pro" w:hAnsi="Source Sans Pro" w:cs="Arial"/>
          <w:sz w:val="22"/>
          <w:szCs w:val="22"/>
          <w:lang w:eastAsia="ar-SA"/>
        </w:rPr>
        <w:t>Als Servicezeiten werden folgende Zeiten festgelegt:</w:t>
      </w:r>
    </w:p>
    <w:p w14:paraId="5D1F08D5" w14:textId="77777777" w:rsidR="00D751A5" w:rsidRPr="00366D82" w:rsidRDefault="00D751A5" w:rsidP="00D751A5">
      <w:pPr>
        <w:widowControl w:val="0"/>
        <w:jc w:val="both"/>
        <w:rPr>
          <w:rFonts w:ascii="Source Sans Pro" w:hAnsi="Source Sans Pro"/>
          <w:sz w:val="22"/>
          <w:szCs w:val="22"/>
          <w:lang w:eastAsia="ar-SA"/>
        </w:rPr>
      </w:pPr>
    </w:p>
    <w:tbl>
      <w:tblPr>
        <w:tblStyle w:val="Tabellenraster"/>
        <w:tblW w:w="8700" w:type="dxa"/>
        <w:tblInd w:w="-5" w:type="dxa"/>
        <w:tblLook w:val="04A0" w:firstRow="1" w:lastRow="0" w:firstColumn="1" w:lastColumn="0" w:noHBand="0" w:noVBand="1"/>
      </w:tblPr>
      <w:tblGrid>
        <w:gridCol w:w="4820"/>
        <w:gridCol w:w="3880"/>
      </w:tblGrid>
      <w:tr w:rsidR="002611D6" w:rsidRPr="00366D82" w14:paraId="2BA3C929" w14:textId="076F59E2" w:rsidTr="002611D6">
        <w:tc>
          <w:tcPr>
            <w:tcW w:w="4820" w:type="dxa"/>
            <w:shd w:val="clear" w:color="auto" w:fill="767171" w:themeFill="background2" w:themeFillShade="80"/>
          </w:tcPr>
          <w:p w14:paraId="72094463" w14:textId="77777777" w:rsidR="002611D6" w:rsidRPr="002611D6" w:rsidRDefault="002611D6" w:rsidP="002611D6">
            <w:pPr>
              <w:widowControl w:val="0"/>
              <w:jc w:val="center"/>
              <w:rPr>
                <w:rFonts w:ascii="Source Sans Pro" w:hAnsi="Source Sans Pro"/>
                <w:b/>
                <w:bCs/>
                <w:sz w:val="22"/>
                <w:szCs w:val="22"/>
                <w:lang w:eastAsia="ar-SA"/>
              </w:rPr>
            </w:pPr>
            <w:r w:rsidRPr="002611D6">
              <w:rPr>
                <w:rFonts w:ascii="Source Sans Pro" w:hAnsi="Source Sans Pro"/>
                <w:b/>
                <w:bCs/>
                <w:sz w:val="22"/>
                <w:szCs w:val="22"/>
                <w:lang w:eastAsia="ar-SA"/>
              </w:rPr>
              <w:t>Leistungen</w:t>
            </w:r>
          </w:p>
          <w:p w14:paraId="1AF67EAB" w14:textId="77777777" w:rsidR="002611D6" w:rsidRDefault="002611D6" w:rsidP="002611D6">
            <w:pPr>
              <w:widowControl w:val="0"/>
              <w:jc w:val="center"/>
              <w:rPr>
                <w:rFonts w:ascii="Source Sans Pro" w:hAnsi="Source Sans Pro"/>
                <w:b/>
                <w:bCs/>
                <w:sz w:val="22"/>
                <w:szCs w:val="22"/>
                <w:lang w:eastAsia="ar-SA"/>
              </w:rPr>
            </w:pPr>
            <w:r w:rsidRPr="002611D6">
              <w:rPr>
                <w:rFonts w:ascii="Source Sans Pro" w:hAnsi="Source Sans Pro"/>
                <w:b/>
                <w:bCs/>
                <w:sz w:val="22"/>
                <w:szCs w:val="22"/>
                <w:lang w:eastAsia="ar-SA"/>
              </w:rPr>
              <w:t>(zur Definition der Servicezeiten vgl. Leistungsbeschreibung)</w:t>
            </w:r>
            <w:r w:rsidRPr="002611D6">
              <w:rPr>
                <w:rFonts w:ascii="Source Sans Pro" w:hAnsi="Source Sans Pro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14:paraId="165F1B60" w14:textId="4288F39C" w:rsidR="002611D6" w:rsidRPr="00366D82" w:rsidRDefault="002611D6" w:rsidP="002611D6">
            <w:pPr>
              <w:widowControl w:val="0"/>
              <w:jc w:val="center"/>
              <w:rPr>
                <w:rFonts w:ascii="Source Sans Pro" w:hAnsi="Source Sans Pro"/>
                <w:sz w:val="22"/>
                <w:szCs w:val="22"/>
                <w:lang w:eastAsia="ar-SA"/>
              </w:rPr>
            </w:pPr>
            <w:r w:rsidRPr="00366D82">
              <w:rPr>
                <w:rFonts w:ascii="Source Sans Pro" w:hAnsi="Source Sans Pro"/>
                <w:sz w:val="22"/>
                <w:szCs w:val="22"/>
                <w:lang w:eastAsia="ar-SA"/>
              </w:rPr>
              <w:t>(„Standard-Servicezeit“)</w:t>
            </w:r>
          </w:p>
        </w:tc>
        <w:tc>
          <w:tcPr>
            <w:tcW w:w="3880" w:type="dxa"/>
            <w:shd w:val="clear" w:color="auto" w:fill="767171" w:themeFill="background2" w:themeFillShade="80"/>
          </w:tcPr>
          <w:p w14:paraId="55D7EAB3" w14:textId="140EC394" w:rsidR="002611D6" w:rsidRPr="00366D82" w:rsidRDefault="002611D6" w:rsidP="00D751A5">
            <w:pPr>
              <w:widowControl w:val="0"/>
              <w:jc w:val="center"/>
              <w:rPr>
                <w:rFonts w:ascii="Source Sans Pro" w:hAnsi="Source Sans Pro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Source Sans Pro" w:hAnsi="Source Sans Pro"/>
                <w:b/>
                <w:bCs/>
                <w:sz w:val="22"/>
                <w:szCs w:val="22"/>
                <w:lang w:eastAsia="ar-SA"/>
              </w:rPr>
              <w:t xml:space="preserve">Stundensatz </w:t>
            </w:r>
            <w:r w:rsidRPr="005A304B">
              <w:rPr>
                <w:rFonts w:ascii="Source Sans Pro" w:hAnsi="Source Sans Pro"/>
                <w:b/>
                <w:bCs/>
                <w:sz w:val="22"/>
                <w:szCs w:val="22"/>
                <w:lang w:eastAsia="ar-SA"/>
              </w:rPr>
              <w:t>Tätigkeit</w:t>
            </w:r>
            <w:r>
              <w:rPr>
                <w:rFonts w:ascii="Source Sans Pro" w:hAnsi="Source Sans Pro"/>
                <w:b/>
                <w:bCs/>
                <w:sz w:val="22"/>
                <w:szCs w:val="22"/>
                <w:lang w:eastAsia="ar-SA"/>
              </w:rPr>
              <w:t xml:space="preserve"> in Euro netto </w:t>
            </w:r>
          </w:p>
        </w:tc>
      </w:tr>
      <w:tr w:rsidR="002611D6" w:rsidRPr="00366D82" w14:paraId="62E44DC4" w14:textId="60E997A4" w:rsidTr="002611D6">
        <w:trPr>
          <w:cantSplit/>
          <w:trHeight w:val="1134"/>
        </w:trPr>
        <w:tc>
          <w:tcPr>
            <w:tcW w:w="4820" w:type="dxa"/>
          </w:tcPr>
          <w:p w14:paraId="1DD79201" w14:textId="77777777" w:rsidR="002611D6" w:rsidRPr="00366D82" w:rsidRDefault="002611D6" w:rsidP="00D751A5">
            <w:pPr>
              <w:widowControl w:val="0"/>
              <w:jc w:val="center"/>
              <w:rPr>
                <w:rFonts w:ascii="Source Sans Pro" w:hAnsi="Source Sans Pro"/>
                <w:sz w:val="22"/>
                <w:szCs w:val="22"/>
                <w:lang w:eastAsia="ar-SA"/>
              </w:rPr>
            </w:pPr>
            <w:r w:rsidRPr="00366D82">
              <w:rPr>
                <w:rFonts w:ascii="Source Sans Pro" w:hAnsi="Source Sans Pro"/>
                <w:sz w:val="22"/>
                <w:szCs w:val="22"/>
                <w:lang w:eastAsia="ar-SA"/>
              </w:rPr>
              <w:t>Reguläre Arbeitstage des Landes Nordrhein-Westfalen</w:t>
            </w:r>
          </w:p>
          <w:p w14:paraId="7208FE10" w14:textId="26FD0E47" w:rsidR="002611D6" w:rsidRPr="00366D82" w:rsidRDefault="002611D6" w:rsidP="00D751A5">
            <w:pPr>
              <w:widowControl w:val="0"/>
              <w:jc w:val="center"/>
              <w:rPr>
                <w:rFonts w:ascii="Source Sans Pro" w:hAnsi="Source Sans Pro"/>
                <w:sz w:val="22"/>
                <w:szCs w:val="22"/>
                <w:lang w:eastAsia="ar-SA"/>
              </w:rPr>
            </w:pPr>
            <w:r>
              <w:rPr>
                <w:rFonts w:ascii="Source Sans Pro" w:hAnsi="Source Sans Pro"/>
                <w:sz w:val="22"/>
                <w:szCs w:val="22"/>
                <w:lang w:eastAsia="ar-SA"/>
              </w:rPr>
              <w:t>(</w:t>
            </w:r>
            <w:r w:rsidRPr="00366D82">
              <w:rPr>
                <w:rFonts w:ascii="Source Sans Pro" w:hAnsi="Source Sans Pro"/>
                <w:sz w:val="22"/>
                <w:szCs w:val="22"/>
                <w:lang w:eastAsia="ar-SA"/>
              </w:rPr>
              <w:t>07:00 – 18:00 Uhr</w:t>
            </w:r>
            <w:r>
              <w:rPr>
                <w:rFonts w:ascii="Source Sans Pro" w:hAnsi="Source Sans Pro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880" w:type="dxa"/>
          </w:tcPr>
          <w:p w14:paraId="7C6B5ED1" w14:textId="77777777" w:rsidR="002611D6" w:rsidRPr="00366D82" w:rsidRDefault="002611D6" w:rsidP="00D751A5">
            <w:pPr>
              <w:widowControl w:val="0"/>
              <w:jc w:val="center"/>
              <w:rPr>
                <w:rFonts w:ascii="Source Sans Pro" w:hAnsi="Source Sans Pro"/>
                <w:sz w:val="22"/>
                <w:szCs w:val="22"/>
                <w:lang w:eastAsia="ar-SA"/>
              </w:rPr>
            </w:pPr>
          </w:p>
        </w:tc>
      </w:tr>
      <w:tr w:rsidR="002611D6" w:rsidRPr="00366D82" w14:paraId="1467123D" w14:textId="77777777" w:rsidTr="002611D6">
        <w:trPr>
          <w:cantSplit/>
          <w:trHeight w:val="1134"/>
        </w:trPr>
        <w:tc>
          <w:tcPr>
            <w:tcW w:w="4820" w:type="dxa"/>
          </w:tcPr>
          <w:p w14:paraId="643B61A1" w14:textId="77777777" w:rsidR="002611D6" w:rsidRPr="008F5DC0" w:rsidRDefault="002611D6" w:rsidP="002611D6">
            <w:pPr>
              <w:rPr>
                <w:rFonts w:ascii="Source Sans Pro" w:hAnsi="Source Sans Pro" w:cs="Arial"/>
                <w:b/>
                <w:sz w:val="20"/>
              </w:rPr>
            </w:pPr>
            <w:r w:rsidRPr="008F5DC0">
              <w:rPr>
                <w:rFonts w:ascii="Source Sans Pro" w:hAnsi="Source Sans Pro" w:cs="Arial"/>
                <w:b/>
                <w:sz w:val="20"/>
              </w:rPr>
              <w:t>Skonto bei Zahlung innerhalb von 14 Tagen in %</w:t>
            </w:r>
          </w:p>
          <w:p w14:paraId="5450D809" w14:textId="225CBB91" w:rsidR="002611D6" w:rsidRPr="00366D82" w:rsidRDefault="002611D6" w:rsidP="002611D6">
            <w:pPr>
              <w:widowControl w:val="0"/>
              <w:rPr>
                <w:rFonts w:ascii="Source Sans Pro" w:hAnsi="Source Sans Pro"/>
                <w:sz w:val="22"/>
                <w:szCs w:val="22"/>
                <w:lang w:eastAsia="ar-SA"/>
              </w:rPr>
            </w:pPr>
            <w:r w:rsidRPr="008F5DC0">
              <w:rPr>
                <w:rFonts w:ascii="Source Sans Pro" w:hAnsi="Source Sans Pro" w:cs="Arial"/>
                <w:sz w:val="20"/>
              </w:rPr>
              <w:t>Bitte tragen Sie ausschließlich Zahlen ein und keine Sonderzeichen. Sollten Sie kein Skonto gewähren, ist hier eine „0“ einzutragen.</w:t>
            </w:r>
          </w:p>
        </w:tc>
        <w:tc>
          <w:tcPr>
            <w:tcW w:w="3880" w:type="dxa"/>
          </w:tcPr>
          <w:p w14:paraId="3C7CA231" w14:textId="77777777" w:rsidR="002611D6" w:rsidRPr="00366D82" w:rsidRDefault="002611D6" w:rsidP="00D751A5">
            <w:pPr>
              <w:widowControl w:val="0"/>
              <w:jc w:val="center"/>
              <w:rPr>
                <w:rFonts w:ascii="Source Sans Pro" w:hAnsi="Source Sans Pro"/>
                <w:sz w:val="22"/>
                <w:szCs w:val="22"/>
                <w:lang w:eastAsia="ar-SA"/>
              </w:rPr>
            </w:pPr>
          </w:p>
        </w:tc>
      </w:tr>
      <w:tr w:rsidR="002611D6" w:rsidRPr="00366D82" w14:paraId="41E26E01" w14:textId="77777777" w:rsidTr="002611D6">
        <w:trPr>
          <w:cantSplit/>
          <w:trHeight w:val="769"/>
        </w:trPr>
        <w:tc>
          <w:tcPr>
            <w:tcW w:w="4820" w:type="dxa"/>
          </w:tcPr>
          <w:p w14:paraId="49C37262" w14:textId="77777777" w:rsidR="002611D6" w:rsidRDefault="002611D6" w:rsidP="002611D6">
            <w:pPr>
              <w:rPr>
                <w:rFonts w:ascii="Source Sans Pro" w:hAnsi="Source Sans Pro" w:cs="Arial"/>
                <w:b/>
                <w:sz w:val="20"/>
              </w:rPr>
            </w:pPr>
            <w:r w:rsidRPr="008F5DC0">
              <w:rPr>
                <w:rFonts w:ascii="Source Sans Pro" w:hAnsi="Source Sans Pro" w:cs="Arial"/>
                <w:b/>
                <w:sz w:val="20"/>
              </w:rPr>
              <w:t>Gesamt</w:t>
            </w:r>
            <w:r>
              <w:rPr>
                <w:rFonts w:ascii="Source Sans Pro" w:hAnsi="Source Sans Pro" w:cs="Arial"/>
                <w:b/>
                <w:sz w:val="20"/>
              </w:rPr>
              <w:t>wertungs</w:t>
            </w:r>
            <w:r w:rsidRPr="008F5DC0">
              <w:rPr>
                <w:rFonts w:ascii="Source Sans Pro" w:hAnsi="Source Sans Pro" w:cs="Arial"/>
                <w:b/>
                <w:sz w:val="20"/>
              </w:rPr>
              <w:t>preis nach Skonto</w:t>
            </w:r>
          </w:p>
          <w:p w14:paraId="4A104722" w14:textId="5CAF50F6" w:rsidR="002611D6" w:rsidRPr="008F5DC0" w:rsidRDefault="002611D6" w:rsidP="002611D6">
            <w:pPr>
              <w:rPr>
                <w:rFonts w:ascii="Source Sans Pro" w:hAnsi="Source Sans Pro" w:cs="Arial"/>
                <w:b/>
                <w:sz w:val="20"/>
              </w:rPr>
            </w:pPr>
            <w:r>
              <w:rPr>
                <w:rFonts w:ascii="Source Sans Pro" w:hAnsi="Source Sans Pro" w:cs="Arial"/>
                <w:b/>
                <w:sz w:val="20"/>
              </w:rPr>
              <w:t xml:space="preserve">(Summe </w:t>
            </w:r>
            <w:r>
              <w:rPr>
                <w:rFonts w:ascii="Source Sans Pro" w:hAnsi="Source Sans Pro" w:cs="Arial"/>
                <w:b/>
                <w:sz w:val="20"/>
              </w:rPr>
              <w:t>Stundensatz</w:t>
            </w:r>
            <w:r>
              <w:rPr>
                <w:rFonts w:ascii="Source Sans Pro" w:hAnsi="Source Sans Pro" w:cs="Arial"/>
                <w:b/>
                <w:sz w:val="20"/>
              </w:rPr>
              <w:t xml:space="preserve"> abzgl. Skonto zu Wertungszwecken)</w:t>
            </w:r>
          </w:p>
        </w:tc>
        <w:tc>
          <w:tcPr>
            <w:tcW w:w="3880" w:type="dxa"/>
          </w:tcPr>
          <w:p w14:paraId="6D85D251" w14:textId="77777777" w:rsidR="002611D6" w:rsidRPr="00366D82" w:rsidRDefault="002611D6" w:rsidP="00D751A5">
            <w:pPr>
              <w:widowControl w:val="0"/>
              <w:jc w:val="center"/>
              <w:rPr>
                <w:rFonts w:ascii="Source Sans Pro" w:hAnsi="Source Sans Pro"/>
                <w:sz w:val="22"/>
                <w:szCs w:val="22"/>
                <w:lang w:eastAsia="ar-SA"/>
              </w:rPr>
            </w:pPr>
          </w:p>
        </w:tc>
      </w:tr>
    </w:tbl>
    <w:p w14:paraId="4A731E8F" w14:textId="701338F2" w:rsidR="00540010" w:rsidRPr="008F5DC0" w:rsidRDefault="00540010">
      <w:pPr>
        <w:rPr>
          <w:rFonts w:ascii="Source Sans Pro" w:hAnsi="Source Sans Pro" w:cs="Arial"/>
          <w:sz w:val="20"/>
        </w:rPr>
      </w:pPr>
    </w:p>
    <w:p w14:paraId="704A3CB3" w14:textId="77777777" w:rsidR="00B07798" w:rsidRPr="008F5DC0" w:rsidRDefault="00B07798" w:rsidP="00176E01">
      <w:pPr>
        <w:rPr>
          <w:rFonts w:ascii="Source Sans Pro" w:hAnsi="Source Sans Pro" w:cs="Arial"/>
          <w:sz w:val="20"/>
        </w:rPr>
      </w:pPr>
    </w:p>
    <w:sectPr w:rsidR="00B07798" w:rsidRPr="008F5DC0" w:rsidSect="00121F5C">
      <w:headerReference w:type="default" r:id="rId7"/>
      <w:footerReference w:type="default" r:id="rId8"/>
      <w:pgSz w:w="11906" w:h="16838" w:code="9"/>
      <w:pgMar w:top="1134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79E5" w14:textId="77777777" w:rsidR="00B37310" w:rsidRDefault="00B37310">
      <w:r>
        <w:separator/>
      </w:r>
    </w:p>
  </w:endnote>
  <w:endnote w:type="continuationSeparator" w:id="0">
    <w:p w14:paraId="23230D3F" w14:textId="77777777" w:rsidR="00B37310" w:rsidRDefault="00B3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estar-Normal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ypestar-Black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B752" w14:textId="71EE1438" w:rsidR="00BB34E9" w:rsidRPr="00BB34E9" w:rsidRDefault="00BB34E9" w:rsidP="00BB34E9">
    <w:pPr>
      <w:pStyle w:val="Fuzeile"/>
      <w:jc w:val="right"/>
    </w:pPr>
    <w:r>
      <w:rPr>
        <w:rFonts w:ascii="Univers 55" w:hAnsi="Univers 55"/>
        <w:sz w:val="16"/>
      </w:rPr>
      <w:t xml:space="preserve">Seite </w:t>
    </w:r>
    <w:r>
      <w:rPr>
        <w:rStyle w:val="Seitenzahl"/>
        <w:rFonts w:ascii="Univers 55" w:hAnsi="Univers 55"/>
        <w:sz w:val="16"/>
      </w:rPr>
      <w:fldChar w:fldCharType="begin"/>
    </w:r>
    <w:r>
      <w:rPr>
        <w:rStyle w:val="Seitenzahl"/>
        <w:rFonts w:ascii="Univers 55" w:hAnsi="Univers 55"/>
        <w:sz w:val="16"/>
      </w:rPr>
      <w:instrText xml:space="preserve"> PAGE </w:instrText>
    </w:r>
    <w:r>
      <w:rPr>
        <w:rStyle w:val="Seitenzahl"/>
        <w:rFonts w:ascii="Univers 55" w:hAnsi="Univers 55"/>
        <w:sz w:val="16"/>
      </w:rPr>
      <w:fldChar w:fldCharType="separate"/>
    </w:r>
    <w:r>
      <w:rPr>
        <w:rStyle w:val="Seitenzahl"/>
        <w:rFonts w:ascii="Univers 55" w:hAnsi="Univers 55"/>
        <w:sz w:val="16"/>
      </w:rPr>
      <w:t>1</w:t>
    </w:r>
    <w:r>
      <w:rPr>
        <w:rStyle w:val="Seitenzahl"/>
        <w:rFonts w:ascii="Univers 55" w:hAnsi="Univers 55"/>
        <w:sz w:val="16"/>
      </w:rPr>
      <w:fldChar w:fldCharType="end"/>
    </w:r>
    <w:r>
      <w:rPr>
        <w:rFonts w:ascii="Univers 55" w:hAnsi="Univers 55"/>
        <w:sz w:val="16"/>
      </w:rPr>
      <w:t xml:space="preserve"> von </w:t>
    </w:r>
    <w:r>
      <w:rPr>
        <w:rFonts w:ascii="Univers 55" w:hAnsi="Univers 55"/>
        <w:sz w:val="16"/>
      </w:rPr>
      <w:fldChar w:fldCharType="begin"/>
    </w:r>
    <w:r>
      <w:rPr>
        <w:rFonts w:ascii="Univers 55" w:hAnsi="Univers 55"/>
        <w:sz w:val="16"/>
      </w:rPr>
      <w:instrText xml:space="preserve"> NUMPAGES \* ARABIC \* MERGEFORMAT </w:instrText>
    </w:r>
    <w:r>
      <w:rPr>
        <w:rFonts w:ascii="Univers 55" w:hAnsi="Univers 55"/>
        <w:sz w:val="16"/>
      </w:rPr>
      <w:fldChar w:fldCharType="separate"/>
    </w:r>
    <w:r>
      <w:rPr>
        <w:rFonts w:ascii="Univers 55" w:hAnsi="Univers 55"/>
        <w:sz w:val="16"/>
      </w:rPr>
      <w:t>1</w:t>
    </w:r>
    <w:r>
      <w:rPr>
        <w:rFonts w:ascii="Univers 55" w:hAnsi="Univers 55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4E9F" w14:textId="77777777" w:rsidR="00B37310" w:rsidRDefault="00B37310">
      <w:r>
        <w:separator/>
      </w:r>
    </w:p>
  </w:footnote>
  <w:footnote w:type="continuationSeparator" w:id="0">
    <w:p w14:paraId="670B4401" w14:textId="77777777" w:rsidR="00B37310" w:rsidRDefault="00B3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D8FC" w14:textId="45C3A375" w:rsidR="00183C04" w:rsidRDefault="00BB34E9" w:rsidP="00121F5C">
    <w:pPr>
      <w:ind w:right="-1136"/>
      <w:jc w:val="right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 </w:t>
    </w:r>
    <w:r w:rsidR="00935982">
      <w:rPr>
        <w:rFonts w:ascii="Arial" w:hAnsi="Arial" w:cs="Arial"/>
        <w:i/>
        <w:noProof/>
        <w:sz w:val="18"/>
      </w:rPr>
      <w:drawing>
        <wp:inline distT="0" distB="0" distL="0" distR="0" wp14:anchorId="7B17FA5F" wp14:editId="63B58531">
          <wp:extent cx="2974975" cy="1078865"/>
          <wp:effectExtent l="0" t="0" r="0" b="698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09F83E" w14:textId="77777777" w:rsidR="00183C04" w:rsidRDefault="00183C04" w:rsidP="00325712">
    <w:pPr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4A3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433F4"/>
    <w:multiLevelType w:val="hybridMultilevel"/>
    <w:tmpl w:val="90D0E9FC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49162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F95A16"/>
    <w:multiLevelType w:val="multilevel"/>
    <w:tmpl w:val="1CFE7D5C"/>
    <w:lvl w:ilvl="0">
      <w:start w:val="1"/>
      <w:numFmt w:val="decimal"/>
      <w:pStyle w:val="acberschrift1"/>
      <w:isLgl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cbersch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acberschrift3"/>
      <w:isLgl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acberschrift4"/>
      <w:isLgl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C553D07"/>
    <w:multiLevelType w:val="hybridMultilevel"/>
    <w:tmpl w:val="4EC694B4"/>
    <w:lvl w:ilvl="0" w:tplc="A7C01D3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D36415"/>
    <w:multiLevelType w:val="hybridMultilevel"/>
    <w:tmpl w:val="88CA1610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B879FB"/>
    <w:multiLevelType w:val="hybridMultilevel"/>
    <w:tmpl w:val="88047B1A"/>
    <w:lvl w:ilvl="0" w:tplc="04070019">
      <w:start w:val="1"/>
      <w:numFmt w:val="lowerLetter"/>
      <w:lvlText w:val="%1."/>
      <w:lvlJc w:val="left"/>
      <w:pPr>
        <w:ind w:left="1065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6CA120D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896D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E959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D54600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419564">
    <w:abstractNumId w:val="8"/>
  </w:num>
  <w:num w:numId="2" w16cid:durableId="411708550">
    <w:abstractNumId w:val="0"/>
  </w:num>
  <w:num w:numId="3" w16cid:durableId="1606427070">
    <w:abstractNumId w:val="7"/>
  </w:num>
  <w:num w:numId="4" w16cid:durableId="1514106789">
    <w:abstractNumId w:val="9"/>
  </w:num>
  <w:num w:numId="5" w16cid:durableId="766511034">
    <w:abstractNumId w:val="2"/>
  </w:num>
  <w:num w:numId="6" w16cid:durableId="802119783">
    <w:abstractNumId w:val="3"/>
  </w:num>
  <w:num w:numId="7" w16cid:durableId="2083211077">
    <w:abstractNumId w:val="10"/>
  </w:num>
  <w:num w:numId="8" w16cid:durableId="38483722">
    <w:abstractNumId w:val="6"/>
  </w:num>
  <w:num w:numId="9" w16cid:durableId="426776663">
    <w:abstractNumId w:val="5"/>
  </w:num>
  <w:num w:numId="10" w16cid:durableId="1726294185">
    <w:abstractNumId w:val="4"/>
  </w:num>
  <w:num w:numId="11" w16cid:durableId="27428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BB"/>
    <w:rsid w:val="00013872"/>
    <w:rsid w:val="00013A2D"/>
    <w:rsid w:val="00021526"/>
    <w:rsid w:val="00056657"/>
    <w:rsid w:val="00063C9C"/>
    <w:rsid w:val="00067B49"/>
    <w:rsid w:val="00091237"/>
    <w:rsid w:val="000A19EF"/>
    <w:rsid w:val="000B2B1C"/>
    <w:rsid w:val="000C5864"/>
    <w:rsid w:val="000F0617"/>
    <w:rsid w:val="00121F5C"/>
    <w:rsid w:val="00147BB0"/>
    <w:rsid w:val="00150123"/>
    <w:rsid w:val="001618B6"/>
    <w:rsid w:val="00163443"/>
    <w:rsid w:val="00167575"/>
    <w:rsid w:val="00176E01"/>
    <w:rsid w:val="00183C04"/>
    <w:rsid w:val="00195388"/>
    <w:rsid w:val="001D0CD5"/>
    <w:rsid w:val="001F4850"/>
    <w:rsid w:val="001F5FBB"/>
    <w:rsid w:val="002327BB"/>
    <w:rsid w:val="00233DD3"/>
    <w:rsid w:val="00252F00"/>
    <w:rsid w:val="002611D6"/>
    <w:rsid w:val="0026709D"/>
    <w:rsid w:val="00274B8B"/>
    <w:rsid w:val="00290D35"/>
    <w:rsid w:val="002A49A0"/>
    <w:rsid w:val="002B509B"/>
    <w:rsid w:val="002D02E4"/>
    <w:rsid w:val="00325712"/>
    <w:rsid w:val="00327B99"/>
    <w:rsid w:val="00344E18"/>
    <w:rsid w:val="00366D82"/>
    <w:rsid w:val="00383228"/>
    <w:rsid w:val="00390737"/>
    <w:rsid w:val="003A641E"/>
    <w:rsid w:val="003C59A0"/>
    <w:rsid w:val="003D7867"/>
    <w:rsid w:val="003E1C2F"/>
    <w:rsid w:val="00442D95"/>
    <w:rsid w:val="00444B4A"/>
    <w:rsid w:val="00463911"/>
    <w:rsid w:val="00465FA5"/>
    <w:rsid w:val="00475F24"/>
    <w:rsid w:val="00476737"/>
    <w:rsid w:val="00487EBB"/>
    <w:rsid w:val="004B4BB7"/>
    <w:rsid w:val="004C6142"/>
    <w:rsid w:val="004D7835"/>
    <w:rsid w:val="004E69AF"/>
    <w:rsid w:val="004E7DC2"/>
    <w:rsid w:val="004F515F"/>
    <w:rsid w:val="00505573"/>
    <w:rsid w:val="005070D9"/>
    <w:rsid w:val="00536387"/>
    <w:rsid w:val="00540010"/>
    <w:rsid w:val="00547B63"/>
    <w:rsid w:val="0056254A"/>
    <w:rsid w:val="00565FCF"/>
    <w:rsid w:val="005771A6"/>
    <w:rsid w:val="00596D47"/>
    <w:rsid w:val="005A304B"/>
    <w:rsid w:val="005C347A"/>
    <w:rsid w:val="005C7578"/>
    <w:rsid w:val="005F0436"/>
    <w:rsid w:val="005F4980"/>
    <w:rsid w:val="0060384F"/>
    <w:rsid w:val="00616D3F"/>
    <w:rsid w:val="00621EAD"/>
    <w:rsid w:val="006260C0"/>
    <w:rsid w:val="006667CC"/>
    <w:rsid w:val="006739BA"/>
    <w:rsid w:val="006853F3"/>
    <w:rsid w:val="006A390E"/>
    <w:rsid w:val="006D08E7"/>
    <w:rsid w:val="006D3EAC"/>
    <w:rsid w:val="006D4D70"/>
    <w:rsid w:val="006E0B0F"/>
    <w:rsid w:val="006E706F"/>
    <w:rsid w:val="006F0C00"/>
    <w:rsid w:val="0072586D"/>
    <w:rsid w:val="0074567E"/>
    <w:rsid w:val="00750BE6"/>
    <w:rsid w:val="00786847"/>
    <w:rsid w:val="00786FC7"/>
    <w:rsid w:val="00790378"/>
    <w:rsid w:val="007A07E0"/>
    <w:rsid w:val="007B12B6"/>
    <w:rsid w:val="007C74D0"/>
    <w:rsid w:val="007E6372"/>
    <w:rsid w:val="0081762D"/>
    <w:rsid w:val="00822616"/>
    <w:rsid w:val="00822F2D"/>
    <w:rsid w:val="0086042A"/>
    <w:rsid w:val="00866F4C"/>
    <w:rsid w:val="008743F0"/>
    <w:rsid w:val="008A148B"/>
    <w:rsid w:val="008A1C55"/>
    <w:rsid w:val="008B7F75"/>
    <w:rsid w:val="008C300E"/>
    <w:rsid w:val="008C79CB"/>
    <w:rsid w:val="008D4113"/>
    <w:rsid w:val="008F5DC0"/>
    <w:rsid w:val="008F657C"/>
    <w:rsid w:val="009100E3"/>
    <w:rsid w:val="009302F9"/>
    <w:rsid w:val="00933BAF"/>
    <w:rsid w:val="00935982"/>
    <w:rsid w:val="00946334"/>
    <w:rsid w:val="0095005E"/>
    <w:rsid w:val="009636CE"/>
    <w:rsid w:val="00973383"/>
    <w:rsid w:val="009758A4"/>
    <w:rsid w:val="00984D5B"/>
    <w:rsid w:val="00990922"/>
    <w:rsid w:val="009917B2"/>
    <w:rsid w:val="009C0ACE"/>
    <w:rsid w:val="009C1ABD"/>
    <w:rsid w:val="009D0A92"/>
    <w:rsid w:val="009E7E44"/>
    <w:rsid w:val="00A15CDF"/>
    <w:rsid w:val="00A30A2B"/>
    <w:rsid w:val="00A33922"/>
    <w:rsid w:val="00A41921"/>
    <w:rsid w:val="00A66AAA"/>
    <w:rsid w:val="00A94CB6"/>
    <w:rsid w:val="00AA46DC"/>
    <w:rsid w:val="00AB3C6D"/>
    <w:rsid w:val="00AE79B8"/>
    <w:rsid w:val="00B025D6"/>
    <w:rsid w:val="00B07798"/>
    <w:rsid w:val="00B209D2"/>
    <w:rsid w:val="00B22ACB"/>
    <w:rsid w:val="00B27C9A"/>
    <w:rsid w:val="00B36B71"/>
    <w:rsid w:val="00B37310"/>
    <w:rsid w:val="00B806EE"/>
    <w:rsid w:val="00B85D25"/>
    <w:rsid w:val="00B93647"/>
    <w:rsid w:val="00BA4779"/>
    <w:rsid w:val="00BA56C4"/>
    <w:rsid w:val="00BB34E9"/>
    <w:rsid w:val="00BE6C33"/>
    <w:rsid w:val="00BE78EB"/>
    <w:rsid w:val="00BF27F6"/>
    <w:rsid w:val="00C802E8"/>
    <w:rsid w:val="00C97125"/>
    <w:rsid w:val="00CA2C52"/>
    <w:rsid w:val="00CD5A04"/>
    <w:rsid w:val="00CE73BE"/>
    <w:rsid w:val="00D10680"/>
    <w:rsid w:val="00D236A8"/>
    <w:rsid w:val="00D277DF"/>
    <w:rsid w:val="00D63CDE"/>
    <w:rsid w:val="00D65BBE"/>
    <w:rsid w:val="00D751A5"/>
    <w:rsid w:val="00D95748"/>
    <w:rsid w:val="00DB5AA5"/>
    <w:rsid w:val="00DC1E94"/>
    <w:rsid w:val="00DD2AFD"/>
    <w:rsid w:val="00DF65C3"/>
    <w:rsid w:val="00E04BF9"/>
    <w:rsid w:val="00E1618F"/>
    <w:rsid w:val="00E40284"/>
    <w:rsid w:val="00E500BA"/>
    <w:rsid w:val="00E72FFA"/>
    <w:rsid w:val="00E90E30"/>
    <w:rsid w:val="00E92C1F"/>
    <w:rsid w:val="00E94124"/>
    <w:rsid w:val="00EA6012"/>
    <w:rsid w:val="00F16E93"/>
    <w:rsid w:val="00F27AC7"/>
    <w:rsid w:val="00F3411E"/>
    <w:rsid w:val="00F5653A"/>
    <w:rsid w:val="00F63497"/>
    <w:rsid w:val="00F63B55"/>
    <w:rsid w:val="00F63DBA"/>
    <w:rsid w:val="00F640FC"/>
    <w:rsid w:val="00F75533"/>
    <w:rsid w:val="00F82377"/>
    <w:rsid w:val="00FA50E7"/>
    <w:rsid w:val="00FB3476"/>
    <w:rsid w:val="00FB4889"/>
    <w:rsid w:val="00FB6C54"/>
    <w:rsid w:val="00FC3241"/>
    <w:rsid w:val="00FD537D"/>
    <w:rsid w:val="00FE556A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B95C1"/>
  <w15:chartTrackingRefBased/>
  <w15:docId w15:val="{8F861CD1-F26C-4579-BF81-282CD45F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611D6"/>
    <w:rPr>
      <w:rFonts w:ascii="Univers" w:hAnsi="Univers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8176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tabs>
        <w:tab w:val="left" w:pos="1134"/>
        <w:tab w:val="right" w:leader="dot" w:pos="6804"/>
      </w:tabs>
      <w:spacing w:after="120" w:line="260" w:lineRule="exact"/>
      <w:ind w:left="1134" w:right="1134" w:hanging="454"/>
    </w:pPr>
    <w:rPr>
      <w:rFonts w:ascii="Typestar-Normal" w:hAnsi="Typestar-Normal"/>
      <w:noProof/>
      <w:kern w:val="18"/>
      <w:sz w:val="19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cberschrift1">
    <w:name w:val="_ac_überschrift_1"/>
    <w:basedOn w:val="Standard"/>
    <w:next w:val="Standard"/>
    <w:pPr>
      <w:keepNext/>
      <w:keepLines/>
      <w:numPr>
        <w:numId w:val="6"/>
      </w:numPr>
      <w:spacing w:before="840" w:after="180" w:line="260" w:lineRule="exact"/>
      <w:outlineLvl w:val="0"/>
    </w:pPr>
    <w:rPr>
      <w:rFonts w:ascii="Typestar-Black" w:hAnsi="Typestar-Black"/>
      <w:kern w:val="18"/>
      <w:sz w:val="19"/>
    </w:rPr>
  </w:style>
  <w:style w:type="paragraph" w:customStyle="1" w:styleId="acberschrift2">
    <w:name w:val="_ac_überschrift_2"/>
    <w:basedOn w:val="acberschrift1"/>
    <w:next w:val="Standard"/>
    <w:pPr>
      <w:numPr>
        <w:ilvl w:val="1"/>
      </w:numPr>
      <w:tabs>
        <w:tab w:val="left" w:pos="567"/>
      </w:tabs>
      <w:spacing w:before="720"/>
      <w:ind w:left="360" w:hanging="360"/>
      <w:outlineLvl w:val="1"/>
    </w:pPr>
  </w:style>
  <w:style w:type="paragraph" w:customStyle="1" w:styleId="acberschrift3">
    <w:name w:val="_ac_überschrift_3"/>
    <w:basedOn w:val="acberschrift1"/>
    <w:next w:val="Standard"/>
    <w:pPr>
      <w:numPr>
        <w:ilvl w:val="2"/>
      </w:numPr>
      <w:tabs>
        <w:tab w:val="clear" w:pos="720"/>
        <w:tab w:val="num" w:pos="360"/>
        <w:tab w:val="left" w:pos="680"/>
      </w:tabs>
      <w:spacing w:before="360"/>
      <w:ind w:left="360" w:hanging="360"/>
      <w:outlineLvl w:val="2"/>
    </w:pPr>
  </w:style>
  <w:style w:type="paragraph" w:customStyle="1" w:styleId="acberschrift4">
    <w:name w:val="_ac_überschrift_4"/>
    <w:basedOn w:val="acberschrift1"/>
    <w:next w:val="Standard"/>
    <w:pPr>
      <w:numPr>
        <w:ilvl w:val="3"/>
      </w:numPr>
      <w:tabs>
        <w:tab w:val="clear" w:pos="864"/>
        <w:tab w:val="num" w:pos="360"/>
        <w:tab w:val="left" w:pos="907"/>
      </w:tabs>
      <w:spacing w:before="360"/>
      <w:ind w:left="360" w:hanging="360"/>
      <w:outlineLvl w:val="3"/>
    </w:pPr>
  </w:style>
  <w:style w:type="paragraph" w:styleId="Textkrper">
    <w:name w:val="Body Text"/>
    <w:basedOn w:val="Standard"/>
    <w:pPr>
      <w:jc w:val="center"/>
    </w:pPr>
    <w:rPr>
      <w:rFonts w:ascii="Arial" w:hAnsi="Arial"/>
      <w:b/>
      <w:sz w:val="32"/>
    </w:rPr>
  </w:style>
  <w:style w:type="paragraph" w:customStyle="1" w:styleId="Listenabsatz1">
    <w:name w:val="Listenabsatz1"/>
    <w:basedOn w:val="Standard"/>
    <w:rsid w:val="00BF27F6"/>
    <w:pPr>
      <w:spacing w:after="280" w:line="280" w:lineRule="exact"/>
      <w:ind w:left="720"/>
      <w:contextualSpacing/>
    </w:pPr>
    <w:rPr>
      <w:rFonts w:ascii="Lucida Sans Unicode" w:hAnsi="Lucida Sans Unicode"/>
      <w:sz w:val="18"/>
      <w:szCs w:val="22"/>
      <w:lang w:eastAsia="en-US"/>
    </w:rPr>
  </w:style>
  <w:style w:type="paragraph" w:styleId="Textkrper-Zeileneinzug">
    <w:name w:val="Body Text Indent"/>
    <w:basedOn w:val="Standard"/>
    <w:rsid w:val="006E706F"/>
    <w:pPr>
      <w:spacing w:after="120"/>
      <w:ind w:left="283"/>
    </w:pPr>
  </w:style>
  <w:style w:type="table" w:styleId="Tabellenraster">
    <w:name w:val="Table Grid"/>
    <w:basedOn w:val="NormaleTabelle"/>
    <w:uiPriority w:val="39"/>
    <w:rsid w:val="0082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226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2261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rsid w:val="00233DD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33DD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233DD3"/>
    <w:rPr>
      <w:rFonts w:ascii="Univers" w:hAnsi="Univers"/>
    </w:rPr>
  </w:style>
  <w:style w:type="paragraph" w:styleId="Kommentarthema">
    <w:name w:val="annotation subject"/>
    <w:basedOn w:val="Kommentartext"/>
    <w:next w:val="Kommentartext"/>
    <w:link w:val="KommentarthemaZchn"/>
    <w:rsid w:val="00233D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33DD3"/>
    <w:rPr>
      <w:rFonts w:ascii="Univers" w:hAnsi="Univers"/>
      <w:b/>
      <w:bCs/>
    </w:rPr>
  </w:style>
  <w:style w:type="paragraph" w:styleId="berarbeitung">
    <w:name w:val="Revision"/>
    <w:hidden/>
    <w:uiPriority w:val="99"/>
    <w:semiHidden/>
    <w:rsid w:val="00621EAD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zur Agenturausschreibung 2003</vt:lpstr>
    </vt:vector>
  </TitlesOfParts>
  <Company>DAAD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zur Agenturausschreibung 2003</dc:title>
  <dc:subject/>
  <dc:creator>DAAD</dc:creator>
  <cp:keywords/>
  <cp:lastModifiedBy>Hermann Jakobi</cp:lastModifiedBy>
  <cp:revision>3</cp:revision>
  <cp:lastPrinted>2022-03-23T13:35:00Z</cp:lastPrinted>
  <dcterms:created xsi:type="dcterms:W3CDTF">2026-03-27T11:24:00Z</dcterms:created>
  <dcterms:modified xsi:type="dcterms:W3CDTF">2026-03-27T11:39:00Z</dcterms:modified>
</cp:coreProperties>
</file>