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el"/>
      </w:pPr>
      <w:r>
        <w:t>Angebot</w:t>
      </w:r>
    </w:p>
    <w:p>
      <w:pPr>
        <w:jc w:val="center"/>
      </w:pPr>
    </w:p>
    <w:p>
      <w:pPr>
        <w:jc w:val="center"/>
      </w:pPr>
      <w:r>
        <w:t xml:space="preserve">Speditionsdienstleistungen (einschließlich Räumung, Abtransport, Einlagerung und Vernichtung) im Rahmen von Räumungsvollstreckungen für den </w:t>
      </w:r>
      <w:r>
        <w:br/>
        <w:t xml:space="preserve">Amtsgerichtsbezirk Apolda </w:t>
      </w:r>
    </w:p>
    <w:p>
      <w:pPr>
        <w:pStyle w:val="berschrift1"/>
      </w:pPr>
      <w:r>
        <w:t>Allgemeine Angaben</w:t>
      </w:r>
    </w:p>
    <w:p>
      <w:pPr>
        <w:pStyle w:val="berschrift2"/>
      </w:pPr>
      <w:r>
        <w:t>Bieter des Vergabeverfahrens</w:t>
      </w:r>
    </w:p>
    <w:p>
      <w:pPr>
        <w:ind w:left="284"/>
        <w:rPr>
          <w:color w:val="000000" w:themeColor="text1"/>
        </w:rPr>
      </w:pPr>
      <w:r>
        <w:t>Firma</w:t>
      </w:r>
      <w:r>
        <w:tab/>
      </w:r>
      <w:r>
        <w:tab/>
      </w:r>
      <w:r>
        <w:tab/>
      </w:r>
      <w:r>
        <w:tab/>
      </w:r>
      <w:r>
        <w:tab/>
      </w:r>
      <w: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Adresse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Telefonnummer/ Durchwahl</w:t>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E-Mail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Unternehmensvertreter</w:t>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 xml:space="preserve">Ggf. vertretungsberechtigter Bearbeiter </w:t>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der Ausschreibung</w:t>
      </w:r>
    </w:p>
    <w:p>
      <w:pPr>
        <w:ind w:left="284"/>
        <w:rPr>
          <w:color w:val="000000" w:themeColor="text1"/>
        </w:rPr>
      </w:pPr>
      <w:r>
        <w:rPr>
          <w:color w:val="000000" w:themeColor="text1"/>
        </w:rPr>
        <w:t xml:space="preserve">voraussichtlicher Ansprechpartner/in für die </w:t>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Auftragsausführung</w:t>
      </w:r>
    </w:p>
    <w:p/>
    <w:p>
      <w:pPr>
        <w:pStyle w:val="berschrift2"/>
      </w:pPr>
      <w:r>
        <w:t>Auftragsgegenstand</w:t>
      </w:r>
    </w:p>
    <w:p>
      <w:pPr>
        <w:pStyle w:val="Listenabsatz"/>
        <w:ind w:left="284"/>
        <w:jc w:val="both"/>
      </w:pPr>
      <w:r>
        <w:rPr>
          <w:lang w:eastAsia="de-DE"/>
        </w:rPr>
        <w:t xml:space="preserve">Der Auftraggeber beabsichtigt im Wege einer europaweiten Ausschreibung im Offenen Verfahren gemäß § 15 I 1 VgV eine Ein-Partner-Rahmenvereinbarung </w:t>
      </w:r>
      <w:r>
        <w:t>über Speditionsdienste (</w:t>
      </w:r>
      <w:r>
        <w:rPr>
          <w:bCs/>
        </w:rPr>
        <w:t>einschließlich Räumung, Abtransport, Einlagerung und Vernichtung</w:t>
      </w:r>
      <w:r>
        <w:t>) im Rahmen der Räumungsvollstreckung für den Amtsgerichtsbezirk Apolda zu vergeben. Die im Einzelnen zu erbringenden Leistungen sind auftragsabhängig.</w:t>
      </w:r>
    </w:p>
    <w:p>
      <w:pPr>
        <w:pStyle w:val="Listenabsatz"/>
        <w:ind w:left="284"/>
        <w:jc w:val="both"/>
      </w:pPr>
    </w:p>
    <w:p>
      <w:pPr>
        <w:spacing w:after="160" w:line="259" w:lineRule="auto"/>
        <w:contextualSpacing w:val="0"/>
        <w:rPr>
          <w:lang w:eastAsia="de-DE"/>
        </w:rPr>
      </w:pPr>
      <w:r>
        <w:rPr>
          <w:lang w:eastAsia="de-DE"/>
        </w:rPr>
        <w:br w:type="page"/>
      </w:r>
    </w:p>
    <w:p>
      <w:pPr>
        <w:pStyle w:val="berschrift1"/>
      </w:pPr>
      <w:r>
        <w:lastRenderedPageBreak/>
        <w:t>Zuschlagskriterien</w:t>
      </w:r>
    </w:p>
    <w:p>
      <w:pPr>
        <w:pStyle w:val="berschrift2"/>
        <w:numPr>
          <w:ilvl w:val="0"/>
          <w:numId w:val="8"/>
        </w:numPr>
        <w:spacing w:after="240"/>
      </w:pPr>
      <w:r>
        <w:t>Leistungskriterien - Mindestanforderungen (A-Kriterien)</w:t>
      </w:r>
    </w:p>
    <w:p>
      <w:pPr>
        <w:pStyle w:val="Listenabsatz"/>
        <w:pBdr>
          <w:top w:val="single" w:sz="4" w:space="1" w:color="auto"/>
          <w:left w:val="single" w:sz="4" w:space="4" w:color="auto"/>
          <w:bottom w:val="single" w:sz="4" w:space="1" w:color="auto"/>
          <w:right w:val="single" w:sz="4" w:space="4" w:color="auto"/>
        </w:pBdr>
        <w:spacing w:after="160"/>
        <w:ind w:left="0"/>
        <w:rPr>
          <w:b/>
        </w:rPr>
      </w:pPr>
      <w:r>
        <w:rPr>
          <w:b/>
          <w:u w:val="single"/>
        </w:rPr>
        <w:t>HINWEIS</w:t>
      </w:r>
      <w:r>
        <w:rPr>
          <w:b/>
        </w:rPr>
        <w:t xml:space="preserve">: </w:t>
      </w:r>
      <w:r>
        <w:t xml:space="preserve">Sofern ein oder mehrere A-Kriterien nicht erfüllt sind, wird das Angebot vom weiteren Vergabeverfahren </w:t>
      </w:r>
      <w:r>
        <w:rPr>
          <w:b/>
          <w:u w:val="single"/>
        </w:rPr>
        <w:t>ausgeschlossen</w:t>
      </w:r>
      <w:r>
        <w:t>; siehe hierfür auch Anlage A_3 Besondere Vergabebestimmungen.</w:t>
      </w:r>
    </w:p>
    <w:p>
      <w:pPr>
        <w:jc w:val="both"/>
      </w:pPr>
      <w:r>
        <w:t xml:space="preserve">Hiermit erkläre ich / erklären wir, dass nachfolgende Leistungskriterien (A-Kriterien) </w:t>
      </w:r>
      <w:r>
        <w:rPr>
          <w:b/>
        </w:rPr>
        <w:t>mindestens</w:t>
      </w:r>
      <w:r>
        <w:t xml:space="preserve"> erfüllt sind: </w:t>
      </w:r>
    </w:p>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1275"/>
        <w:gridCol w:w="1276"/>
      </w:tblGrid>
      <w:tr>
        <w:trPr>
          <w:trHeight w:val="690"/>
        </w:trPr>
        <w:tc>
          <w:tcPr>
            <w:tcW w:w="704" w:type="dxa"/>
            <w:vMerge w:val="restart"/>
            <w:shd w:val="clear" w:color="auto" w:fill="auto"/>
          </w:tcPr>
          <w:p>
            <w:pPr>
              <w:spacing w:before="120"/>
              <w:jc w:val="center"/>
              <w:rPr>
                <w:b/>
              </w:rPr>
            </w:pPr>
            <w:r>
              <w:rPr>
                <w:b/>
              </w:rPr>
              <w:t>Lfd. Nr.</w:t>
            </w:r>
          </w:p>
        </w:tc>
        <w:tc>
          <w:tcPr>
            <w:tcW w:w="6521" w:type="dxa"/>
            <w:vMerge w:val="restart"/>
            <w:shd w:val="clear" w:color="auto" w:fill="auto"/>
          </w:tcPr>
          <w:p>
            <w:pPr>
              <w:overflowPunct w:val="0"/>
              <w:autoSpaceDE w:val="0"/>
              <w:autoSpaceDN w:val="0"/>
              <w:adjustRightInd w:val="0"/>
              <w:spacing w:before="40" w:after="0"/>
              <w:contextualSpacing w:val="0"/>
              <w:jc w:val="center"/>
              <w:textAlignment w:val="baseline"/>
              <w:rPr>
                <w:rFonts w:eastAsia="Times New Roman"/>
                <w:b/>
                <w:lang w:eastAsia="de-DE"/>
              </w:rPr>
            </w:pPr>
            <w:r>
              <w:rPr>
                <w:rFonts w:eastAsia="Times New Roman"/>
                <w:b/>
                <w:lang w:eastAsia="de-DE"/>
              </w:rPr>
              <w:t>Mindestanforderung (A-Kriterien)</w:t>
            </w:r>
          </w:p>
          <w:p>
            <w:pPr>
              <w:spacing w:before="120"/>
              <w:jc w:val="center"/>
              <w:rPr>
                <w:b/>
              </w:rPr>
            </w:pPr>
            <w:r>
              <w:rPr>
                <w:rFonts w:eastAsia="Times New Roman"/>
                <w:i/>
                <w:sz w:val="16"/>
                <w:lang w:eastAsia="de-DE"/>
              </w:rPr>
              <w:t>(Die Nichteinhaltung dieser Anforderungen führt zum Ausschluss des Angebotes.)</w:t>
            </w:r>
          </w:p>
        </w:tc>
        <w:tc>
          <w:tcPr>
            <w:tcW w:w="1275" w:type="dxa"/>
            <w:shd w:val="clear" w:color="auto" w:fill="auto"/>
          </w:tcPr>
          <w:p>
            <w:pPr>
              <w:spacing w:before="120"/>
              <w:jc w:val="center"/>
              <w:rPr>
                <w:b/>
              </w:rPr>
            </w:pPr>
            <w:r>
              <w:rPr>
                <w:b/>
              </w:rPr>
              <w:t>Erfüllt</w:t>
            </w:r>
          </w:p>
        </w:tc>
        <w:tc>
          <w:tcPr>
            <w:tcW w:w="1276" w:type="dxa"/>
          </w:tcPr>
          <w:p>
            <w:pPr>
              <w:spacing w:before="120"/>
              <w:jc w:val="center"/>
              <w:rPr>
                <w:b/>
              </w:rPr>
            </w:pPr>
            <w:r>
              <w:rPr>
                <w:b/>
              </w:rPr>
              <w:t>Nicht erfüllt</w:t>
            </w:r>
          </w:p>
        </w:tc>
      </w:tr>
      <w:tr>
        <w:trPr>
          <w:trHeight w:val="204"/>
        </w:trPr>
        <w:tc>
          <w:tcPr>
            <w:tcW w:w="704" w:type="dxa"/>
            <w:vMerge/>
            <w:shd w:val="clear" w:color="auto" w:fill="auto"/>
          </w:tcPr>
          <w:p>
            <w:pPr>
              <w:spacing w:before="120"/>
              <w:jc w:val="center"/>
              <w:rPr>
                <w:b/>
              </w:rPr>
            </w:pPr>
          </w:p>
        </w:tc>
        <w:tc>
          <w:tcPr>
            <w:tcW w:w="6521" w:type="dxa"/>
            <w:vMerge/>
            <w:shd w:val="clear" w:color="auto" w:fill="auto"/>
          </w:tcPr>
          <w:p>
            <w:pPr>
              <w:overflowPunct w:val="0"/>
              <w:autoSpaceDE w:val="0"/>
              <w:autoSpaceDN w:val="0"/>
              <w:adjustRightInd w:val="0"/>
              <w:spacing w:before="40" w:after="0"/>
              <w:contextualSpacing w:val="0"/>
              <w:jc w:val="center"/>
              <w:textAlignment w:val="baseline"/>
              <w:rPr>
                <w:rFonts w:eastAsia="Times New Roman"/>
                <w:b/>
                <w:lang w:eastAsia="de-DE"/>
              </w:rPr>
            </w:pPr>
          </w:p>
        </w:tc>
        <w:tc>
          <w:tcPr>
            <w:tcW w:w="2551" w:type="dxa"/>
            <w:gridSpan w:val="2"/>
            <w:shd w:val="clear" w:color="auto" w:fill="auto"/>
          </w:tcPr>
          <w:p>
            <w:pPr>
              <w:spacing w:before="120"/>
              <w:jc w:val="center"/>
              <w:rPr>
                <w:b/>
              </w:rPr>
            </w:pPr>
            <w:r>
              <w:rPr>
                <w:sz w:val="16"/>
                <w:szCs w:val="16"/>
              </w:rPr>
              <w:t>(Zutreffendes bitte ankreuzen)</w:t>
            </w:r>
          </w:p>
        </w:tc>
      </w:tr>
      <w:tr>
        <w:tc>
          <w:tcPr>
            <w:tcW w:w="9776" w:type="dxa"/>
            <w:gridSpan w:val="4"/>
            <w:shd w:val="clear" w:color="auto" w:fill="auto"/>
          </w:tcPr>
          <w:p>
            <w:pPr>
              <w:tabs>
                <w:tab w:val="left" w:pos="374"/>
                <w:tab w:val="center" w:pos="515"/>
              </w:tabs>
              <w:spacing w:before="120"/>
              <w:jc w:val="center"/>
              <w:rPr>
                <w:b/>
              </w:rPr>
            </w:pPr>
            <w:r>
              <w:rPr>
                <w:b/>
              </w:rPr>
              <w:t>Räumung</w:t>
            </w:r>
          </w:p>
        </w:tc>
      </w:tr>
      <w:tr>
        <w:tc>
          <w:tcPr>
            <w:tcW w:w="704" w:type="dxa"/>
            <w:shd w:val="clear" w:color="auto" w:fill="auto"/>
          </w:tcPr>
          <w:p>
            <w:pPr>
              <w:spacing w:before="120"/>
              <w:jc w:val="both"/>
              <w:rPr>
                <w:b/>
              </w:rPr>
            </w:pPr>
            <w:r>
              <w:t>1.1</w:t>
            </w:r>
          </w:p>
        </w:tc>
        <w:tc>
          <w:tcPr>
            <w:tcW w:w="6521" w:type="dxa"/>
            <w:shd w:val="clear" w:color="auto" w:fill="auto"/>
          </w:tcPr>
          <w:p>
            <w:pPr>
              <w:spacing w:before="120"/>
            </w:pPr>
            <w:r>
              <w:t>Die für die Erfüllung der Aufträge erforderlichen Geräte, Maschinen und Fahrzeuge (auch zum Transport schwerer, sperriger Gegenstände wie z.B. Klaviere, Tresore) werden vom Auftragnehmer gestellt. Der Bedarf ist vor Auftragsbeginn zu ermitteln.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1.2</w:t>
            </w:r>
          </w:p>
        </w:tc>
        <w:tc>
          <w:tcPr>
            <w:tcW w:w="6521" w:type="dxa"/>
            <w:shd w:val="clear" w:color="auto" w:fill="auto"/>
          </w:tcPr>
          <w:p>
            <w:pPr>
              <w:spacing w:before="120"/>
            </w:pPr>
            <w:r>
              <w:t>Maschinen, Geräte und Fahrzeuge entsprechen den erforderlichen Prüfungen hinsichtlich Betriebssicherheit und den geltenden Unfallverhütungsvorschriften.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1.3</w:t>
            </w:r>
          </w:p>
        </w:tc>
        <w:tc>
          <w:tcPr>
            <w:tcW w:w="6521" w:type="dxa"/>
            <w:shd w:val="clear" w:color="auto" w:fill="auto"/>
          </w:tcPr>
          <w:p>
            <w:pPr>
              <w:tabs>
                <w:tab w:val="left" w:pos="4620"/>
              </w:tabs>
              <w:spacing w:before="120"/>
            </w:pPr>
            <w:r>
              <w:t>Die Räumung wird zeitnah, grundsätzlich aber innerhalb von 6 Wochen nach Auftragserteilung durch den Gerichtsvollzieher durchgeführt.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1.4</w:t>
            </w:r>
          </w:p>
        </w:tc>
        <w:tc>
          <w:tcPr>
            <w:tcW w:w="6521" w:type="dxa"/>
            <w:shd w:val="clear" w:color="auto" w:fill="auto"/>
          </w:tcPr>
          <w:p>
            <w:pPr>
              <w:tabs>
                <w:tab w:val="left" w:pos="4620"/>
              </w:tabs>
              <w:spacing w:before="120"/>
            </w:pPr>
            <w:r>
              <w:t>Der Auftragnehmer ist von Montag – Freitag von 08:00 Uhr bis 16:00 Uhr erreichbar.</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rPr>
                <w:b/>
              </w:rPr>
            </w:pPr>
            <w:r>
              <w:t>1.5</w:t>
            </w:r>
          </w:p>
        </w:tc>
        <w:tc>
          <w:tcPr>
            <w:tcW w:w="6521" w:type="dxa"/>
            <w:shd w:val="clear" w:color="auto" w:fill="auto"/>
          </w:tcPr>
          <w:p>
            <w:pPr>
              <w:spacing w:before="120"/>
            </w:pPr>
            <w:r>
              <w:t>Geräumt werden nach entsprechendem Zwangsvollstreckungsauftrag Räume (z.B. Wohnungen, Büros, Lager), Grundstücke und Gartengrundstücke von beweglichen Gegenständen und Sachen (z.B. Möbel, Müll, Sondermüll, Unrat, Autos, Sperrgut).</w:t>
            </w:r>
          </w:p>
        </w:tc>
        <w:tc>
          <w:tcPr>
            <w:tcW w:w="1275" w:type="dxa"/>
            <w:shd w:val="clear" w:color="auto" w:fill="auto"/>
            <w:vAlign w:val="center"/>
          </w:tcPr>
          <w:p>
            <w:pPr>
              <w:tabs>
                <w:tab w:val="left" w:pos="374"/>
                <w:tab w:val="center" w:pos="515"/>
              </w:tabs>
              <w:spacing w:before="120"/>
              <w:jc w:val="center"/>
            </w:pPr>
            <w:r>
              <w:fldChar w:fldCharType="begin">
                <w:ffData>
                  <w:name w:val="Kontrollkästchen30"/>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1.6</w:t>
            </w:r>
          </w:p>
        </w:tc>
        <w:tc>
          <w:tcPr>
            <w:tcW w:w="6521" w:type="dxa"/>
            <w:shd w:val="clear" w:color="auto" w:fill="auto"/>
          </w:tcPr>
          <w:p>
            <w:pPr>
              <w:tabs>
                <w:tab w:val="left" w:pos="1185"/>
              </w:tabs>
              <w:spacing w:before="120"/>
            </w:pPr>
            <w:r>
              <w:t xml:space="preserve">Der Auftragnehmer stellt ausreichend Personal (mind. 2 Mitarbeiter) zur Verfügung.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1.7</w:t>
            </w:r>
          </w:p>
        </w:tc>
        <w:tc>
          <w:tcPr>
            <w:tcW w:w="6521" w:type="dxa"/>
            <w:shd w:val="clear" w:color="auto" w:fill="auto"/>
          </w:tcPr>
          <w:p>
            <w:pPr>
              <w:pStyle w:val="Kommentartext"/>
            </w:pPr>
            <w:r>
              <w:t xml:space="preserve">Im Falle unvorhersehbarer Räumungssituationen (z. B. Müll, Dauer, umfangreiches Räumungsgut) sichert der Auftragnehmer eine kurzfristige Bereitstellung </w:t>
            </w:r>
            <w:r>
              <w:rPr>
                <w:color w:val="000000" w:themeColor="text1"/>
              </w:rPr>
              <w:t xml:space="preserve">(= d.h. grundsätzlich am gleichen Tag) </w:t>
            </w:r>
            <w:r>
              <w:t xml:space="preserve">weiterer Geräte, Maschinen, Fahrzeuge, Arbeitsmittel (inkl. Hygieneartikeln, Vollschutzanzüge) und Mitarbeiter </w:t>
            </w:r>
            <w:r>
              <w:rPr>
                <w:color w:val="000000" w:themeColor="text1"/>
              </w:rPr>
              <w:t>zu, um eine zügige und komplette Räumung zu gewährleisten.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1.8</w:t>
            </w:r>
          </w:p>
        </w:tc>
        <w:tc>
          <w:tcPr>
            <w:tcW w:w="6521" w:type="dxa"/>
            <w:shd w:val="clear" w:color="auto" w:fill="auto"/>
          </w:tcPr>
          <w:p>
            <w:pPr>
              <w:tabs>
                <w:tab w:val="left" w:pos="1185"/>
              </w:tabs>
              <w:spacing w:before="120"/>
            </w:pPr>
            <w:r>
              <w:t xml:space="preserve">Der Auftragnehmer dokumentiert jeden Auftrag sowie die </w:t>
            </w:r>
            <w:r>
              <w:rPr>
                <w:color w:val="000000" w:themeColor="text1"/>
              </w:rPr>
              <w:t xml:space="preserve">Leistungserbringung nach Zeit, Datum, Umfang (insbesondere Mengenangaben zum verwendeten Verpackungsmaterial, Anzahl der LKWs, Menge des Entsorgungsgutes), Anzahl </w:t>
            </w:r>
            <w:r>
              <w:t>der Arbeitskräfte und Dauer.</w:t>
            </w:r>
            <w:r>
              <w:rPr>
                <w:color w:val="000000" w:themeColor="text1"/>
              </w:rPr>
              <w:t xml:space="preserve"> Im Falle einer Verzögerung der Räumung durch unvorhersehbare Räumungssituationen (siehe Punkt 1.7) dokumentiert der Auftragnehmer den Grund für die Verzögerung und die dadurch zu ergreifenden Maßnahmen. </w:t>
            </w:r>
            <w:r>
              <w:t>Die Dokumentation wird durch den Gerichtsvollzieher gegengezeichnet.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1.9</w:t>
            </w:r>
          </w:p>
        </w:tc>
        <w:tc>
          <w:tcPr>
            <w:tcW w:w="6521" w:type="dxa"/>
            <w:shd w:val="clear" w:color="auto" w:fill="auto"/>
          </w:tcPr>
          <w:p>
            <w:pPr>
              <w:spacing w:before="120"/>
            </w:pPr>
            <w:r>
              <w:t xml:space="preserve">Bei der Räumung erstellt der Auftragnehmer auf Verlangen ein Verzeichnis des Räumungs- und Pfandgutes und händigt dieses dem Gerichtsvollzieher aus. Beschädigungen an dem Räumungs- und </w:t>
            </w:r>
            <w:proofErr w:type="spellStart"/>
            <w:r>
              <w:t>Pfandgut</w:t>
            </w:r>
            <w:proofErr w:type="spellEnd"/>
            <w:r>
              <w:t xml:space="preserve"> sind dem Gerichtsvollzieher umgehend anzuzeigen und zu dokumentieren.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1.10</w:t>
            </w:r>
          </w:p>
        </w:tc>
        <w:tc>
          <w:tcPr>
            <w:tcW w:w="6521" w:type="dxa"/>
            <w:shd w:val="clear" w:color="auto" w:fill="auto"/>
          </w:tcPr>
          <w:p>
            <w:pPr>
              <w:spacing w:before="120"/>
            </w:pPr>
            <w:r>
              <w:t>Das Objekt wird besenrein beräumt.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1.11</w:t>
            </w:r>
          </w:p>
        </w:tc>
        <w:tc>
          <w:tcPr>
            <w:tcW w:w="6521" w:type="dxa"/>
            <w:shd w:val="clear" w:color="auto" w:fill="auto"/>
          </w:tcPr>
          <w:p>
            <w:pPr>
              <w:spacing w:before="120"/>
            </w:pPr>
            <w:r>
              <w:t>Einzulagerndes Pfand- oder Räumungsgut wird sorgfältig verpackt. Dabei hat der Auftragnehmer grundsätzlich im Sinne der Kostenminimierung abzuwägen, welches Verpackungsmaterial eingesetzt wird. Möbel werden nach Bedarf zerlegt und wieder aufgebaut.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1.12</w:t>
            </w:r>
          </w:p>
        </w:tc>
        <w:tc>
          <w:tcPr>
            <w:tcW w:w="6521" w:type="dxa"/>
            <w:shd w:val="clear" w:color="auto" w:fill="auto"/>
          </w:tcPr>
          <w:p>
            <w:pPr>
              <w:spacing w:before="120"/>
            </w:pPr>
            <w:r>
              <w:t>Verpackungsbehältnisse werden vom Auftragnehmer zur Verfügung gestellt.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1.13</w:t>
            </w:r>
          </w:p>
        </w:tc>
        <w:tc>
          <w:tcPr>
            <w:tcW w:w="6521" w:type="dxa"/>
            <w:shd w:val="clear" w:color="auto" w:fill="auto"/>
          </w:tcPr>
          <w:p>
            <w:pPr>
              <w:spacing w:before="120"/>
            </w:pPr>
            <w:r>
              <w:t>Eine Sondergenehmigung für Halteverbotszonen wird durch den Auftragnehmer rechtzeitig eingeholt. Die entstehenden Kosten werden durch den Auftragnehmer vorgeschossen.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rPr>
          <w:trHeight w:val="283"/>
        </w:trPr>
        <w:tc>
          <w:tcPr>
            <w:tcW w:w="9776" w:type="dxa"/>
            <w:gridSpan w:val="4"/>
            <w:shd w:val="clear" w:color="auto" w:fill="auto"/>
            <w:vAlign w:val="center"/>
          </w:tcPr>
          <w:p>
            <w:pPr>
              <w:tabs>
                <w:tab w:val="left" w:pos="374"/>
                <w:tab w:val="center" w:pos="515"/>
              </w:tabs>
              <w:spacing w:before="120"/>
              <w:jc w:val="center"/>
              <w:rPr>
                <w:b/>
              </w:rPr>
            </w:pPr>
            <w:r>
              <w:rPr>
                <w:b/>
              </w:rPr>
              <w:t>Aufladung und Abtransport, Entsorgung</w:t>
            </w:r>
          </w:p>
        </w:tc>
      </w:tr>
      <w:tr>
        <w:tc>
          <w:tcPr>
            <w:tcW w:w="704" w:type="dxa"/>
            <w:shd w:val="clear" w:color="auto" w:fill="auto"/>
          </w:tcPr>
          <w:p>
            <w:pPr>
              <w:spacing w:before="120"/>
              <w:jc w:val="both"/>
            </w:pPr>
            <w:r>
              <w:t>2.1</w:t>
            </w:r>
          </w:p>
        </w:tc>
        <w:tc>
          <w:tcPr>
            <w:tcW w:w="6521" w:type="dxa"/>
            <w:shd w:val="clear" w:color="auto" w:fill="auto"/>
          </w:tcPr>
          <w:p>
            <w:pPr>
              <w:spacing w:before="120"/>
            </w:pPr>
            <w:r>
              <w:t>Das Räumungsgut wird - sofern nicht der Zwangsvollstreckungsschuldner oder -gläubiger hierfür selbst Sorge tragen – aufgeladen, abtransportiert und ggf. entsorgt.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2.2</w:t>
            </w:r>
          </w:p>
        </w:tc>
        <w:tc>
          <w:tcPr>
            <w:tcW w:w="6521" w:type="dxa"/>
            <w:shd w:val="clear" w:color="auto" w:fill="auto"/>
          </w:tcPr>
          <w:p>
            <w:pPr>
              <w:spacing w:before="120"/>
            </w:pPr>
            <w:r>
              <w:t xml:space="preserve">Sperr- und Sondermüll wird entsprechend der gesetzlichen Vorschriften entsorgt. Eventuelle Kosten hierfür werden durch den Auftragnehmer vorgeschossen.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2.3</w:t>
            </w:r>
          </w:p>
        </w:tc>
        <w:tc>
          <w:tcPr>
            <w:tcW w:w="6521" w:type="dxa"/>
            <w:shd w:val="clear" w:color="auto" w:fill="auto"/>
          </w:tcPr>
          <w:p>
            <w:pPr>
              <w:spacing w:before="120"/>
            </w:pPr>
            <w:r>
              <w:t xml:space="preserve">Die Entsorgung persönlicher Unterlagen des Schuldners wird unter Einhaltung der DSGVO und weiterer gesetzlicher Regelungen vorgenommen. Der Entsorgungsnachweis wird dem Auftraggeber vorgelegt.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2.4</w:t>
            </w:r>
          </w:p>
        </w:tc>
        <w:tc>
          <w:tcPr>
            <w:tcW w:w="6521" w:type="dxa"/>
            <w:shd w:val="clear" w:color="auto" w:fill="auto"/>
          </w:tcPr>
          <w:p>
            <w:pPr>
              <w:spacing w:before="120"/>
            </w:pPr>
            <w:r>
              <w:t>Die entsprechenden Kostenrechnungen, Nachweise zur fachgerechten Entsorgung und nachprüfbare Wiegescheine für das jeweilige Räumungsverfahren werden vorgelegt.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2.5</w:t>
            </w:r>
          </w:p>
        </w:tc>
        <w:tc>
          <w:tcPr>
            <w:tcW w:w="6521" w:type="dxa"/>
            <w:shd w:val="clear" w:color="auto" w:fill="auto"/>
          </w:tcPr>
          <w:p>
            <w:pPr>
              <w:spacing w:before="120"/>
            </w:pPr>
            <w:r>
              <w:t xml:space="preserve">Die Entsorgung hat zur Kostenminimierung bei dem für den </w:t>
            </w:r>
            <w:proofErr w:type="spellStart"/>
            <w:r>
              <w:t>Anfallort</w:t>
            </w:r>
            <w:proofErr w:type="spellEnd"/>
            <w:r>
              <w:t xml:space="preserve"> des Abfalls zuständigen Wertstoffhof bzw. der Deponie zu erfolgen.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9776" w:type="dxa"/>
            <w:gridSpan w:val="4"/>
            <w:shd w:val="clear" w:color="auto" w:fill="auto"/>
            <w:vAlign w:val="center"/>
          </w:tcPr>
          <w:p>
            <w:pPr>
              <w:tabs>
                <w:tab w:val="left" w:pos="374"/>
                <w:tab w:val="center" w:pos="515"/>
              </w:tabs>
              <w:spacing w:before="120"/>
              <w:jc w:val="center"/>
              <w:rPr>
                <w:b/>
              </w:rPr>
            </w:pPr>
            <w:r>
              <w:rPr>
                <w:b/>
              </w:rPr>
              <w:t>Einlagerung</w:t>
            </w:r>
          </w:p>
        </w:tc>
      </w:tr>
      <w:tr>
        <w:tc>
          <w:tcPr>
            <w:tcW w:w="704" w:type="dxa"/>
            <w:shd w:val="clear" w:color="auto" w:fill="auto"/>
          </w:tcPr>
          <w:p>
            <w:pPr>
              <w:spacing w:before="120"/>
              <w:jc w:val="both"/>
              <w:rPr>
                <w:color w:val="000000" w:themeColor="text1"/>
              </w:rPr>
            </w:pPr>
            <w:r>
              <w:rPr>
                <w:color w:val="000000" w:themeColor="text1"/>
              </w:rPr>
              <w:t>3.1</w:t>
            </w:r>
          </w:p>
        </w:tc>
        <w:tc>
          <w:tcPr>
            <w:tcW w:w="6521" w:type="dxa"/>
            <w:shd w:val="clear" w:color="auto" w:fill="auto"/>
          </w:tcPr>
          <w:p>
            <w:pPr>
              <w:spacing w:before="120"/>
              <w:rPr>
                <w:color w:val="000000" w:themeColor="text1"/>
              </w:rPr>
            </w:pPr>
            <w:r>
              <w:rPr>
                <w:color w:val="000000" w:themeColor="text1"/>
              </w:rPr>
              <w:t xml:space="preserve">Die Einlagerung erfolgt während der gesamten Vertragsdauer in einem Lager in dem Amtsgerichtsbezirk </w:t>
            </w:r>
            <w:r>
              <w:t>Apolda</w:t>
            </w:r>
            <w:r>
              <w:rPr>
                <w:color w:val="000000" w:themeColor="text1"/>
              </w:rPr>
              <w:t>.</w:t>
            </w:r>
          </w:p>
          <w:p>
            <w:pPr>
              <w:spacing w:before="120"/>
              <w:rPr>
                <w:color w:val="000000" w:themeColor="text1"/>
              </w:rPr>
            </w:pPr>
            <w:r>
              <w:rPr>
                <w:color w:val="000000" w:themeColor="text1"/>
              </w:rPr>
              <w:t>Das Lager befindet sich unter folgender Anschrift:</w:t>
            </w:r>
          </w:p>
          <w:p>
            <w:pPr>
              <w:spacing w:before="120"/>
              <w:rPr>
                <w:color w:val="000000" w:themeColor="text1"/>
                <w:u w:val="single"/>
              </w:rPr>
            </w:pPr>
            <w:r>
              <w:rPr>
                <w:color w:val="000000" w:themeColor="text1"/>
                <w:u w:val="single"/>
              </w:rPr>
              <w:fldChar w:fldCharType="begin">
                <w:ffData>
                  <w:name w:val="Text3"/>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spacing w:before="120"/>
              <w:rPr>
                <w:color w:val="000000" w:themeColor="text1"/>
                <w:u w:val="single"/>
              </w:rPr>
            </w:pPr>
            <w:r>
              <w:rPr>
                <w:color w:val="000000" w:themeColor="text1"/>
              </w:rPr>
              <w:t>Die nachträgliche Änderung des Einlagerungsortes an eine Anschrift außerhalb des Amtsgerichtsbezirks ist nicht zulässig.</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3.2</w:t>
            </w:r>
          </w:p>
        </w:tc>
        <w:tc>
          <w:tcPr>
            <w:tcW w:w="6521" w:type="dxa"/>
            <w:shd w:val="clear" w:color="auto" w:fill="auto"/>
          </w:tcPr>
          <w:p>
            <w:pPr>
              <w:tabs>
                <w:tab w:val="left" w:pos="1830"/>
              </w:tabs>
              <w:spacing w:before="120"/>
            </w:pPr>
            <w:r>
              <w:rPr>
                <w:color w:val="000000" w:themeColor="text1"/>
              </w:rPr>
              <w:t>Das Lager befindet sich nicht in Sicherheitsbereichen und ist ohne erhöhte Sicherheitskontrolle für den Schuldner, ggf. dessen Bevollmächtigte und den Gerichtsvollzieher zugänglich.</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3.3</w:t>
            </w:r>
          </w:p>
        </w:tc>
        <w:tc>
          <w:tcPr>
            <w:tcW w:w="6521" w:type="dxa"/>
            <w:shd w:val="clear" w:color="auto" w:fill="auto"/>
          </w:tcPr>
          <w:p>
            <w:pPr>
              <w:spacing w:before="120"/>
              <w:rPr>
                <w:highlight w:val="yellow"/>
              </w:rPr>
            </w:pPr>
            <w:r>
              <w:t xml:space="preserve">Das Räumungsgut kann über einen Zeitraum von drei Monaten in einem hierfür geeigneten Lager eingelagert werden. Eine Versicherung über den Wert des eingelagerten Räumungsgutes ist für die Zeit der Einlagerung vorhanden.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3.4</w:t>
            </w:r>
          </w:p>
        </w:tc>
        <w:tc>
          <w:tcPr>
            <w:tcW w:w="6521" w:type="dxa"/>
            <w:shd w:val="clear" w:color="auto" w:fill="auto"/>
          </w:tcPr>
          <w:p>
            <w:pPr>
              <w:spacing w:before="120"/>
            </w:pPr>
            <w:r>
              <w:t xml:space="preserve">Der Auftragnehmer garantiert die Fortführung der Aufbewahrung der eingelagerten Güter bis zu zwei Monate über den unter 3.3 geforderten Zeitraum.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3.5</w:t>
            </w:r>
          </w:p>
        </w:tc>
        <w:tc>
          <w:tcPr>
            <w:tcW w:w="6521" w:type="dxa"/>
            <w:shd w:val="clear" w:color="auto" w:fill="auto"/>
          </w:tcPr>
          <w:p>
            <w:pPr>
              <w:spacing w:before="120"/>
            </w:pPr>
            <w:r>
              <w:t xml:space="preserve">Der einzelne Lagervertrag endet mit dem Auftrag zur Auflösung des Lagers oder mit vollständiger Abholung des Lagergutes.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3.6</w:t>
            </w:r>
          </w:p>
        </w:tc>
        <w:tc>
          <w:tcPr>
            <w:tcW w:w="6521" w:type="dxa"/>
            <w:shd w:val="clear" w:color="auto" w:fill="auto"/>
          </w:tcPr>
          <w:p>
            <w:pPr>
              <w:spacing w:before="120"/>
            </w:pPr>
            <w:r>
              <w:t>Die Einlagerung erfolgt auf die einzelnen Aufträge der Gerichtsvollzieher bezogen räumlich getrennt, so dass ein unberechtigter Zugriff durch Dritte ausgeschlossen ist.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3.7</w:t>
            </w:r>
          </w:p>
        </w:tc>
        <w:tc>
          <w:tcPr>
            <w:tcW w:w="6521" w:type="dxa"/>
            <w:shd w:val="clear" w:color="auto" w:fill="auto"/>
          </w:tcPr>
          <w:p>
            <w:pPr>
              <w:spacing w:before="120"/>
            </w:pPr>
            <w:r>
              <w:t>Vor der Einlagerung erstellt der Gerichtsvollzieher ein Protokoll und Verzeichnis der einzulagernden Güter und händigt eine Kopie von diesem dem Auftragnehmer aus. Beschädigungen an dem Räumungsgut sind zu dokumentieren. Das Protokoll ist durch den Auftragnehmer gegenzuzeichnen.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3.8</w:t>
            </w:r>
          </w:p>
        </w:tc>
        <w:tc>
          <w:tcPr>
            <w:tcW w:w="6521" w:type="dxa"/>
            <w:shd w:val="clear" w:color="auto" w:fill="auto"/>
          </w:tcPr>
          <w:p>
            <w:pPr>
              <w:spacing w:before="120"/>
            </w:pPr>
            <w:r>
              <w:t>Der Auftragnehmer richtet eine Rufbereitschaft (Montag – Freitag von 08:00 Uhr bis 16:00 Uhr) bei laufenden Lagerungen ein.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3.9</w:t>
            </w:r>
          </w:p>
        </w:tc>
        <w:tc>
          <w:tcPr>
            <w:tcW w:w="6521" w:type="dxa"/>
            <w:shd w:val="clear" w:color="auto" w:fill="auto"/>
          </w:tcPr>
          <w:p>
            <w:pPr>
              <w:spacing w:before="120"/>
            </w:pPr>
            <w:r>
              <w:t>Das Lager muss nach vorheriger Anmeldung zu den üblichen Geschäftszeiten Montag bis Freitag bis 18.00 Uhr besetzt werden können.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3.10</w:t>
            </w:r>
          </w:p>
        </w:tc>
        <w:tc>
          <w:tcPr>
            <w:tcW w:w="6521" w:type="dxa"/>
            <w:shd w:val="clear" w:color="auto" w:fill="auto"/>
          </w:tcPr>
          <w:p>
            <w:pPr>
              <w:tabs>
                <w:tab w:val="left" w:pos="1830"/>
              </w:tabs>
              <w:spacing w:before="120"/>
            </w:pPr>
            <w:r>
              <w:t xml:space="preserve">Die Herausgabe und Vernichtung von Pfandsachen und Räumungsgut wird vom Auftragnehmer nur mit einer schriftlichen Anweisung des Gerichtsvollziehers vorgenommen. Dies gilt auch für die nach Ablauf der Einlagerungszeit durch den Auftragnehmer </w:t>
            </w:r>
            <w:proofErr w:type="gramStart"/>
            <w:r>
              <w:t>zu entsorgenden, nicht verwertbaren Gegenstände</w:t>
            </w:r>
            <w:proofErr w:type="gramEnd"/>
            <w:r>
              <w:t xml:space="preserve">.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9776" w:type="dxa"/>
            <w:gridSpan w:val="4"/>
            <w:shd w:val="clear" w:color="auto" w:fill="auto"/>
          </w:tcPr>
          <w:p>
            <w:pPr>
              <w:tabs>
                <w:tab w:val="left" w:pos="374"/>
                <w:tab w:val="center" w:pos="515"/>
              </w:tabs>
              <w:spacing w:before="120"/>
              <w:jc w:val="center"/>
              <w:rPr>
                <w:b/>
                <w:bCs/>
              </w:rPr>
            </w:pPr>
            <w:r>
              <w:rPr>
                <w:b/>
                <w:bCs/>
              </w:rPr>
              <w:t>Versteigerung</w:t>
            </w:r>
          </w:p>
        </w:tc>
      </w:tr>
      <w:tr>
        <w:tc>
          <w:tcPr>
            <w:tcW w:w="704" w:type="dxa"/>
            <w:shd w:val="clear" w:color="auto" w:fill="auto"/>
          </w:tcPr>
          <w:p>
            <w:pPr>
              <w:spacing w:before="120"/>
              <w:jc w:val="both"/>
            </w:pPr>
            <w:r>
              <w:t>4.1</w:t>
            </w:r>
          </w:p>
        </w:tc>
        <w:tc>
          <w:tcPr>
            <w:tcW w:w="6521" w:type="dxa"/>
            <w:shd w:val="clear" w:color="auto" w:fill="auto"/>
          </w:tcPr>
          <w:p>
            <w:pPr>
              <w:spacing w:before="120"/>
              <w:rPr>
                <w:color w:val="000000" w:themeColor="text1"/>
              </w:rPr>
            </w:pPr>
            <w:r>
              <w:rPr>
                <w:color w:val="000000" w:themeColor="text1"/>
              </w:rP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4.2</w:t>
            </w:r>
          </w:p>
        </w:tc>
        <w:tc>
          <w:tcPr>
            <w:tcW w:w="6521" w:type="dxa"/>
            <w:shd w:val="clear" w:color="auto" w:fill="auto"/>
          </w:tcPr>
          <w:p>
            <w:pPr>
              <w:spacing w:before="120"/>
              <w:rPr>
                <w:color w:val="000000" w:themeColor="text1"/>
              </w:rPr>
            </w:pPr>
            <w:r>
              <w:rPr>
                <w:color w:val="000000" w:themeColor="text1"/>
              </w:rPr>
              <w:t>Der Versteigerungsort ist ohne weitere Zutrittskontrollen für potentielle Bieter zugänglich. Insbesondere findet keine Ausweiskontrolle statt.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4.3</w:t>
            </w:r>
          </w:p>
        </w:tc>
        <w:tc>
          <w:tcPr>
            <w:tcW w:w="6521" w:type="dxa"/>
            <w:shd w:val="clear" w:color="auto" w:fill="auto"/>
          </w:tcPr>
          <w:p>
            <w:pPr>
              <w:spacing w:before="120"/>
            </w:pPr>
            <w:r>
              <w:t>Sofern der Gerichtsvollzieher die Versteigerung nicht in den durch den Auftragnehmer zur Verfügung gestellten Räumlichkeiten durchführt, gewährleistet der Auftragnehmer den Transport der Gegenstände zu dem vom Gerichtsvollzieher benannten Ort der Versteigerung.</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bl>
    <w:p>
      <w:pPr>
        <w:spacing w:after="160" w:line="259" w:lineRule="auto"/>
        <w:contextualSpacing w:val="0"/>
        <w:sectPr>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pPr>
    </w:p>
    <w:p>
      <w:pPr>
        <w:pStyle w:val="berschrift2"/>
      </w:pPr>
      <w:r>
        <w:t>Preiskriterium</w:t>
      </w:r>
    </w:p>
    <w:p>
      <w:pPr>
        <w:pBdr>
          <w:top w:val="single" w:sz="4" w:space="1" w:color="auto"/>
          <w:left w:val="single" w:sz="4" w:space="4" w:color="auto"/>
          <w:bottom w:val="single" w:sz="4" w:space="1" w:color="auto"/>
          <w:right w:val="single" w:sz="4" w:space="4" w:color="auto"/>
        </w:pBdr>
        <w:ind w:left="-284" w:right="-567"/>
        <w:rPr>
          <w:b/>
        </w:rPr>
      </w:pPr>
      <w:r>
        <w:rPr>
          <w:b/>
          <w:u w:val="single"/>
        </w:rPr>
        <w:t>HINWEIS:</w:t>
      </w:r>
      <w:r>
        <w:rPr>
          <w:b/>
        </w:rPr>
        <w:t xml:space="preserve"> </w:t>
      </w:r>
    </w:p>
    <w:p>
      <w:pPr>
        <w:pBdr>
          <w:top w:val="single" w:sz="4" w:space="1" w:color="auto"/>
          <w:left w:val="single" w:sz="4" w:space="4" w:color="auto"/>
          <w:bottom w:val="single" w:sz="4" w:space="1" w:color="auto"/>
          <w:right w:val="single" w:sz="4" w:space="4" w:color="auto"/>
        </w:pBdr>
        <w:ind w:left="-284" w:right="-567"/>
        <w:rPr>
          <w:color w:val="000000" w:themeColor="text1"/>
        </w:rPr>
      </w:pPr>
      <w:r>
        <w:t xml:space="preserve">Eintragungen sind nur in den Textfeldern vorzunehmen. Anderweitige Änderungen und Ergänzungen führen zum </w:t>
      </w:r>
      <w:r>
        <w:rPr>
          <w:b/>
          <w:u w:val="single"/>
        </w:rPr>
        <w:t>Ausschluss</w:t>
      </w:r>
      <w:r>
        <w:t xml:space="preserve"> des Angebotes. </w:t>
      </w:r>
    </w:p>
    <w:p>
      <w:pPr>
        <w:pBdr>
          <w:top w:val="single" w:sz="4" w:space="1" w:color="auto"/>
          <w:left w:val="single" w:sz="4" w:space="4" w:color="auto"/>
          <w:bottom w:val="single" w:sz="4" w:space="1" w:color="auto"/>
          <w:right w:val="single" w:sz="4" w:space="4" w:color="auto"/>
        </w:pBdr>
        <w:ind w:left="-284" w:right="-567"/>
        <w:rPr>
          <w:color w:val="000000" w:themeColor="text1"/>
        </w:rPr>
      </w:pPr>
      <w:r>
        <w:rPr>
          <w:color w:val="000000" w:themeColor="text1"/>
        </w:rPr>
        <w:t>Der Gesamtpreis der Positionen Nr. 1 bis 7 dient der Vergleichbarkeit der Angebote und fließt in die Angebotswertung ein (vgl. Anlage</w:t>
      </w:r>
      <w:r>
        <w:rPr>
          <w:b/>
          <w:i/>
          <w:color w:val="000000" w:themeColor="text1"/>
        </w:rPr>
        <w:t xml:space="preserve"> A_3 Besondere Vergabebestimmungen</w:t>
      </w:r>
      <w:r>
        <w:rPr>
          <w:color w:val="000000" w:themeColor="text1"/>
        </w:rPr>
        <w:t xml:space="preserve">). </w:t>
      </w:r>
    </w:p>
    <w:p>
      <w:pPr>
        <w:pBdr>
          <w:top w:val="single" w:sz="4" w:space="1" w:color="auto"/>
          <w:left w:val="single" w:sz="4" w:space="4" w:color="auto"/>
          <w:bottom w:val="single" w:sz="4" w:space="1" w:color="auto"/>
          <w:right w:val="single" w:sz="4" w:space="4" w:color="auto"/>
        </w:pBdr>
        <w:ind w:left="-284" w:right="-567"/>
        <w:rPr>
          <w:color w:val="000000" w:themeColor="text1"/>
        </w:rPr>
      </w:pPr>
      <w:r>
        <w:rPr>
          <w:color w:val="000000" w:themeColor="text1"/>
        </w:rPr>
        <w:t>Im Sinne eines vollständigen Angebotes sind alle Textfelder zu befüllen. Unvollständige Angebote führen zum Ausschluss.</w:t>
      </w:r>
    </w:p>
    <w:p/>
    <w:p>
      <w:r>
        <w:t>Oben beschriebene Leistung wird zu folgenden Konditionen angeboten:</w:t>
      </w:r>
    </w:p>
    <w:tbl>
      <w:tblPr>
        <w:tblW w:w="10064"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244"/>
        <w:gridCol w:w="1426"/>
        <w:gridCol w:w="2117"/>
        <w:gridCol w:w="8"/>
        <w:gridCol w:w="1835"/>
        <w:gridCol w:w="8"/>
      </w:tblGrid>
      <w:tr>
        <w:trPr>
          <w:gridAfter w:val="1"/>
          <w:wAfter w:w="8" w:type="dxa"/>
        </w:trPr>
        <w:tc>
          <w:tcPr>
            <w:tcW w:w="426" w:type="dxa"/>
            <w:tcBorders>
              <w:top w:val="single" w:sz="4" w:space="0" w:color="auto"/>
              <w:left w:val="single" w:sz="4" w:space="0" w:color="auto"/>
            </w:tcBorders>
          </w:tcPr>
          <w:p>
            <w:pPr>
              <w:spacing w:before="120"/>
              <w:jc w:val="center"/>
              <w:rPr>
                <w:b/>
                <w:sz w:val="18"/>
                <w:szCs w:val="20"/>
              </w:rPr>
            </w:pPr>
            <w:r>
              <w:rPr>
                <w:b/>
                <w:sz w:val="18"/>
                <w:szCs w:val="20"/>
              </w:rPr>
              <w:t>Nr.</w:t>
            </w:r>
          </w:p>
        </w:tc>
        <w:tc>
          <w:tcPr>
            <w:tcW w:w="4244" w:type="dxa"/>
            <w:tcBorders>
              <w:top w:val="single" w:sz="4" w:space="0" w:color="auto"/>
            </w:tcBorders>
          </w:tcPr>
          <w:p>
            <w:pPr>
              <w:spacing w:before="120"/>
              <w:jc w:val="center"/>
              <w:rPr>
                <w:b/>
                <w:sz w:val="18"/>
                <w:szCs w:val="20"/>
              </w:rPr>
            </w:pPr>
            <w:r>
              <w:rPr>
                <w:b/>
                <w:sz w:val="18"/>
                <w:szCs w:val="20"/>
              </w:rPr>
              <w:t>Beschreibung</w:t>
            </w:r>
          </w:p>
        </w:tc>
        <w:tc>
          <w:tcPr>
            <w:tcW w:w="1426" w:type="dxa"/>
            <w:tcBorders>
              <w:top w:val="single" w:sz="4" w:space="0" w:color="auto"/>
            </w:tcBorders>
          </w:tcPr>
          <w:p>
            <w:pPr>
              <w:spacing w:before="120"/>
              <w:jc w:val="center"/>
              <w:rPr>
                <w:b/>
                <w:sz w:val="18"/>
                <w:szCs w:val="20"/>
              </w:rPr>
            </w:pPr>
            <w:r>
              <w:rPr>
                <w:b/>
                <w:sz w:val="18"/>
                <w:szCs w:val="20"/>
              </w:rPr>
              <w:t>Preis in €</w:t>
            </w:r>
          </w:p>
          <w:p>
            <w:pPr>
              <w:spacing w:before="120"/>
              <w:jc w:val="center"/>
              <w:rPr>
                <w:b/>
                <w:sz w:val="18"/>
                <w:szCs w:val="20"/>
              </w:rPr>
            </w:pPr>
            <w:r>
              <w:rPr>
                <w:b/>
                <w:sz w:val="18"/>
                <w:szCs w:val="20"/>
              </w:rPr>
              <w:t>(netto)</w:t>
            </w:r>
          </w:p>
        </w:tc>
        <w:tc>
          <w:tcPr>
            <w:tcW w:w="2117" w:type="dxa"/>
            <w:tcBorders>
              <w:top w:val="single" w:sz="4" w:space="0" w:color="auto"/>
              <w:bottom w:val="nil"/>
            </w:tcBorders>
          </w:tcPr>
          <w:p>
            <w:pPr>
              <w:spacing w:before="120"/>
              <w:jc w:val="center"/>
              <w:rPr>
                <w:b/>
                <w:sz w:val="18"/>
                <w:szCs w:val="20"/>
              </w:rPr>
            </w:pPr>
            <w:r>
              <w:rPr>
                <w:b/>
                <w:sz w:val="18"/>
                <w:szCs w:val="20"/>
              </w:rPr>
              <w:t>Berechnungsmodel</w:t>
            </w:r>
          </w:p>
          <w:p>
            <w:pPr>
              <w:spacing w:before="120"/>
              <w:jc w:val="center"/>
              <w:rPr>
                <w:sz w:val="18"/>
                <w:szCs w:val="20"/>
              </w:rPr>
            </w:pPr>
            <w:r>
              <w:rPr>
                <w:sz w:val="14"/>
                <w:szCs w:val="20"/>
              </w:rPr>
              <w:t>(dient lediglich der Vergleichbarkeit)</w:t>
            </w:r>
          </w:p>
        </w:tc>
        <w:tc>
          <w:tcPr>
            <w:tcW w:w="1843" w:type="dxa"/>
            <w:gridSpan w:val="2"/>
            <w:tcBorders>
              <w:top w:val="single" w:sz="4" w:space="0" w:color="auto"/>
              <w:bottom w:val="nil"/>
              <w:right w:val="single" w:sz="4" w:space="0" w:color="auto"/>
            </w:tcBorders>
          </w:tcPr>
          <w:p>
            <w:pPr>
              <w:spacing w:before="120"/>
              <w:jc w:val="center"/>
              <w:rPr>
                <w:b/>
                <w:sz w:val="18"/>
                <w:szCs w:val="20"/>
              </w:rPr>
            </w:pPr>
            <w:r>
              <w:rPr>
                <w:b/>
                <w:sz w:val="18"/>
                <w:szCs w:val="20"/>
              </w:rPr>
              <w:t>Preis in € (netto) für Berechnungs</w:t>
            </w:r>
            <w:r>
              <w:rPr>
                <w:b/>
                <w:sz w:val="18"/>
                <w:szCs w:val="20"/>
              </w:rPr>
              <w:softHyphen/>
              <w:t>model</w:t>
            </w:r>
          </w:p>
          <w:p>
            <w:pPr>
              <w:spacing w:before="120"/>
              <w:jc w:val="center"/>
              <w:rPr>
                <w:strike/>
                <w:sz w:val="18"/>
                <w:szCs w:val="20"/>
              </w:rPr>
            </w:pPr>
            <w:r>
              <w:rPr>
                <w:sz w:val="14"/>
                <w:szCs w:val="20"/>
              </w:rPr>
              <w:t>(A x B)</w:t>
            </w:r>
          </w:p>
        </w:tc>
      </w:tr>
      <w:tr>
        <w:trPr>
          <w:gridAfter w:val="1"/>
          <w:wAfter w:w="8" w:type="dxa"/>
        </w:trPr>
        <w:tc>
          <w:tcPr>
            <w:tcW w:w="426" w:type="dxa"/>
            <w:tcBorders>
              <w:left w:val="single" w:sz="4" w:space="0" w:color="auto"/>
            </w:tcBorders>
          </w:tcPr>
          <w:p>
            <w:pPr>
              <w:jc w:val="center"/>
              <w:rPr>
                <w:b/>
                <w:sz w:val="14"/>
                <w:szCs w:val="20"/>
              </w:rPr>
            </w:pPr>
          </w:p>
        </w:tc>
        <w:tc>
          <w:tcPr>
            <w:tcW w:w="4244" w:type="dxa"/>
          </w:tcPr>
          <w:p>
            <w:pPr>
              <w:jc w:val="center"/>
              <w:rPr>
                <w:b/>
                <w:sz w:val="14"/>
                <w:szCs w:val="20"/>
              </w:rPr>
            </w:pPr>
          </w:p>
        </w:tc>
        <w:tc>
          <w:tcPr>
            <w:tcW w:w="1426" w:type="dxa"/>
          </w:tcPr>
          <w:p>
            <w:pPr>
              <w:jc w:val="center"/>
              <w:rPr>
                <w:sz w:val="14"/>
                <w:szCs w:val="20"/>
              </w:rPr>
            </w:pPr>
            <w:r>
              <w:rPr>
                <w:sz w:val="14"/>
                <w:szCs w:val="20"/>
              </w:rPr>
              <w:t>A</w:t>
            </w:r>
          </w:p>
        </w:tc>
        <w:tc>
          <w:tcPr>
            <w:tcW w:w="2117" w:type="dxa"/>
            <w:tcBorders>
              <w:bottom w:val="nil"/>
            </w:tcBorders>
          </w:tcPr>
          <w:p>
            <w:pPr>
              <w:jc w:val="center"/>
              <w:rPr>
                <w:sz w:val="14"/>
                <w:szCs w:val="20"/>
              </w:rPr>
            </w:pPr>
            <w:r>
              <w:rPr>
                <w:sz w:val="14"/>
                <w:szCs w:val="20"/>
              </w:rPr>
              <w:t>B</w:t>
            </w:r>
          </w:p>
        </w:tc>
        <w:tc>
          <w:tcPr>
            <w:tcW w:w="1843" w:type="dxa"/>
            <w:gridSpan w:val="2"/>
            <w:tcBorders>
              <w:bottom w:val="nil"/>
              <w:right w:val="single" w:sz="4" w:space="0" w:color="auto"/>
            </w:tcBorders>
          </w:tcPr>
          <w:p>
            <w:pPr>
              <w:jc w:val="center"/>
              <w:rPr>
                <w:sz w:val="14"/>
                <w:szCs w:val="20"/>
              </w:rPr>
            </w:pPr>
            <w:r>
              <w:rPr>
                <w:sz w:val="14"/>
                <w:szCs w:val="20"/>
              </w:rPr>
              <w:t>C</w:t>
            </w:r>
          </w:p>
        </w:tc>
      </w:tr>
      <w:tr>
        <w:trPr>
          <w:gridAfter w:val="1"/>
          <w:wAfter w:w="8" w:type="dxa"/>
          <w:trHeight w:val="1920"/>
        </w:trPr>
        <w:tc>
          <w:tcPr>
            <w:tcW w:w="426" w:type="dxa"/>
            <w:tcBorders>
              <w:left w:val="single" w:sz="4" w:space="0" w:color="auto"/>
            </w:tcBorders>
          </w:tcPr>
          <w:p>
            <w:pPr>
              <w:spacing w:before="120" w:line="240" w:lineRule="auto"/>
              <w:contextualSpacing w:val="0"/>
              <w:jc w:val="center"/>
              <w:rPr>
                <w:sz w:val="18"/>
                <w:szCs w:val="20"/>
              </w:rPr>
            </w:pPr>
            <w:r>
              <w:rPr>
                <w:sz w:val="18"/>
                <w:szCs w:val="20"/>
              </w:rPr>
              <w:t>1.</w:t>
            </w:r>
          </w:p>
        </w:tc>
        <w:tc>
          <w:tcPr>
            <w:tcW w:w="4244" w:type="dxa"/>
          </w:tcPr>
          <w:p>
            <w:pPr>
              <w:spacing w:before="120" w:line="240" w:lineRule="auto"/>
              <w:rPr>
                <w:color w:val="000000" w:themeColor="text1"/>
                <w:sz w:val="18"/>
                <w:szCs w:val="20"/>
              </w:rPr>
            </w:pPr>
            <w:r>
              <w:rPr>
                <w:color w:val="000000" w:themeColor="text1"/>
                <w:sz w:val="18"/>
                <w:szCs w:val="20"/>
              </w:rPr>
              <w:t xml:space="preserve">Dienstleistung gem. Leistungskriterien für: </w:t>
            </w:r>
          </w:p>
          <w:p>
            <w:pPr>
              <w:spacing w:before="120" w:line="240" w:lineRule="auto"/>
              <w:rPr>
                <w:color w:val="000000" w:themeColor="text1"/>
                <w:sz w:val="18"/>
                <w:szCs w:val="20"/>
              </w:rPr>
            </w:pPr>
          </w:p>
          <w:p>
            <w:pPr>
              <w:spacing w:before="120" w:line="240" w:lineRule="auto"/>
              <w:rPr>
                <w:color w:val="000000" w:themeColor="text1"/>
                <w:sz w:val="16"/>
                <w:szCs w:val="18"/>
              </w:rPr>
            </w:pPr>
            <w:r>
              <w:rPr>
                <w:color w:val="000000" w:themeColor="text1"/>
                <w:sz w:val="16"/>
                <w:szCs w:val="18"/>
              </w:rPr>
              <w:t xml:space="preserve">- Räumung </w:t>
            </w:r>
          </w:p>
          <w:p>
            <w:pPr>
              <w:spacing w:before="120" w:line="240" w:lineRule="auto"/>
              <w:rPr>
                <w:color w:val="000000" w:themeColor="text1"/>
                <w:sz w:val="16"/>
                <w:szCs w:val="18"/>
              </w:rPr>
            </w:pPr>
            <w:r>
              <w:rPr>
                <w:color w:val="000000" w:themeColor="text1"/>
                <w:sz w:val="16"/>
                <w:szCs w:val="18"/>
              </w:rPr>
              <w:t xml:space="preserve">- Aufladung </w:t>
            </w:r>
          </w:p>
          <w:p>
            <w:pPr>
              <w:spacing w:before="120" w:line="240" w:lineRule="auto"/>
              <w:rPr>
                <w:color w:val="000000" w:themeColor="text1"/>
                <w:sz w:val="16"/>
                <w:szCs w:val="18"/>
              </w:rPr>
            </w:pPr>
            <w:r>
              <w:rPr>
                <w:color w:val="000000" w:themeColor="text1"/>
                <w:sz w:val="16"/>
                <w:szCs w:val="18"/>
              </w:rPr>
              <w:t>- Entsorgung</w:t>
            </w:r>
          </w:p>
          <w:p>
            <w:pPr>
              <w:spacing w:before="120" w:line="240" w:lineRule="auto"/>
              <w:rPr>
                <w:color w:val="000000" w:themeColor="text1"/>
                <w:sz w:val="16"/>
                <w:szCs w:val="18"/>
              </w:rPr>
            </w:pPr>
            <w:r>
              <w:rPr>
                <w:color w:val="000000" w:themeColor="text1"/>
                <w:sz w:val="16"/>
                <w:szCs w:val="18"/>
              </w:rPr>
              <w:t>- Einlagerung</w:t>
            </w:r>
          </w:p>
          <w:p>
            <w:pPr>
              <w:spacing w:before="120" w:line="240" w:lineRule="auto"/>
              <w:rPr>
                <w:color w:val="000000" w:themeColor="text1"/>
                <w:sz w:val="16"/>
                <w:szCs w:val="18"/>
              </w:rPr>
            </w:pPr>
            <w:r>
              <w:rPr>
                <w:color w:val="000000" w:themeColor="text1"/>
                <w:sz w:val="16"/>
                <w:szCs w:val="18"/>
              </w:rPr>
              <w:t>- Vernichtung</w:t>
            </w:r>
          </w:p>
          <w:p>
            <w:pPr>
              <w:spacing w:before="120" w:line="240" w:lineRule="auto"/>
              <w:rPr>
                <w:color w:val="000000" w:themeColor="text1"/>
                <w:sz w:val="18"/>
                <w:szCs w:val="20"/>
              </w:rPr>
            </w:pPr>
          </w:p>
          <w:p>
            <w:pPr>
              <w:spacing w:before="120" w:line="240" w:lineRule="auto"/>
              <w:contextualSpacing w:val="0"/>
              <w:rPr>
                <w:color w:val="000000" w:themeColor="text1"/>
                <w:sz w:val="14"/>
                <w:szCs w:val="14"/>
              </w:rPr>
            </w:pPr>
            <w:r>
              <w:rPr>
                <w:color w:val="000000" w:themeColor="text1"/>
                <w:sz w:val="14"/>
                <w:szCs w:val="14"/>
              </w:rPr>
              <w:t xml:space="preserve">Vergütet wird die reine Dienstleistungszeit, d.h. Fahrzeiten sind hierin nicht umfasst. </w:t>
            </w:r>
          </w:p>
          <w:p>
            <w:pPr>
              <w:spacing w:before="120" w:line="240" w:lineRule="auto"/>
              <w:contextualSpacing w:val="0"/>
              <w:rPr>
                <w:sz w:val="14"/>
                <w:szCs w:val="14"/>
              </w:rPr>
            </w:pPr>
            <w:r>
              <w:rPr>
                <w:color w:val="000000" w:themeColor="text1"/>
                <w:sz w:val="14"/>
                <w:szCs w:val="14"/>
              </w:rPr>
              <w:t>Fahrzeiten werden gem. Nr. 6a und 6b abgerechnet.</w:t>
            </w:r>
          </w:p>
        </w:tc>
        <w:tc>
          <w:tcPr>
            <w:tcW w:w="1426" w:type="dxa"/>
            <w:shd w:val="clear" w:color="auto" w:fill="auto"/>
            <w:vAlign w:val="center"/>
          </w:tcPr>
          <w:p>
            <w:pPr>
              <w:spacing w:before="120" w:line="240" w:lineRule="auto"/>
              <w:contextualSpacing w:val="0"/>
              <w:jc w:val="right"/>
              <w:rPr>
                <w:sz w:val="14"/>
                <w:szCs w:val="20"/>
              </w:rPr>
            </w:pPr>
            <w:r>
              <w:rPr>
                <w:sz w:val="14"/>
                <w:szCs w:val="20"/>
              </w:rPr>
              <w:t xml:space="preserve">Preis je Arbeitsstunde </w:t>
            </w:r>
            <w:proofErr w:type="gramStart"/>
            <w:r>
              <w:rPr>
                <w:sz w:val="14"/>
                <w:szCs w:val="20"/>
              </w:rPr>
              <w:t>pro eingesetztem Mitarbeiter</w:t>
            </w:r>
            <w:proofErr w:type="gramEnd"/>
            <w:r>
              <w:rPr>
                <w:sz w:val="14"/>
                <w:szCs w:val="20"/>
              </w:rPr>
              <w:t>:</w:t>
            </w:r>
          </w:p>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bookmarkStart w:id="0" w:name="Text5"/>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bookmarkEnd w:id="0"/>
          </w:p>
          <w:p>
            <w:pPr>
              <w:spacing w:before="120" w:line="240" w:lineRule="auto"/>
              <w:contextualSpacing w:val="0"/>
              <w:jc w:val="right"/>
              <w:rPr>
                <w:sz w:val="18"/>
                <w:szCs w:val="20"/>
              </w:rPr>
            </w:pPr>
          </w:p>
        </w:tc>
        <w:tc>
          <w:tcPr>
            <w:tcW w:w="2117" w:type="dxa"/>
            <w:shd w:val="clear" w:color="auto" w:fill="auto"/>
            <w:vAlign w:val="center"/>
          </w:tcPr>
          <w:p>
            <w:pPr>
              <w:spacing w:before="120" w:line="240" w:lineRule="auto"/>
              <w:contextualSpacing w:val="0"/>
              <w:jc w:val="center"/>
              <w:rPr>
                <w:sz w:val="18"/>
                <w:szCs w:val="20"/>
              </w:rPr>
            </w:pPr>
            <w:r>
              <w:rPr>
                <w:sz w:val="18"/>
                <w:szCs w:val="20"/>
              </w:rPr>
              <w:t>x 36</w:t>
            </w:r>
          </w:p>
          <w:p>
            <w:pPr>
              <w:spacing w:before="120" w:line="240" w:lineRule="auto"/>
              <w:contextualSpacing w:val="0"/>
              <w:jc w:val="center"/>
              <w:rPr>
                <w:sz w:val="18"/>
                <w:szCs w:val="20"/>
              </w:rPr>
            </w:pPr>
            <w:r>
              <w:rPr>
                <w:sz w:val="14"/>
                <w:szCs w:val="20"/>
              </w:rPr>
              <w:t xml:space="preserve">(Einsatz von 6 Mitarbeitern für </w:t>
            </w:r>
            <w:r>
              <w:rPr>
                <w:sz w:val="14"/>
                <w:szCs w:val="20"/>
              </w:rPr>
              <w:br/>
              <w:t>6 Stunden)</w:t>
            </w:r>
          </w:p>
        </w:tc>
        <w:tc>
          <w:tcPr>
            <w:tcW w:w="1843" w:type="dxa"/>
            <w:gridSpan w:val="2"/>
            <w:tcBorders>
              <w:bottom w:val="nil"/>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p>
        </w:tc>
      </w:tr>
      <w:tr>
        <w:trPr>
          <w:gridAfter w:val="1"/>
          <w:wAfter w:w="8" w:type="dxa"/>
          <w:trHeight w:val="850"/>
        </w:trPr>
        <w:tc>
          <w:tcPr>
            <w:tcW w:w="426" w:type="dxa"/>
            <w:tcBorders>
              <w:left w:val="single" w:sz="4" w:space="0" w:color="auto"/>
            </w:tcBorders>
          </w:tcPr>
          <w:p>
            <w:pPr>
              <w:spacing w:before="120" w:line="240" w:lineRule="auto"/>
              <w:contextualSpacing w:val="0"/>
              <w:jc w:val="center"/>
              <w:rPr>
                <w:sz w:val="18"/>
                <w:szCs w:val="20"/>
              </w:rPr>
            </w:pPr>
            <w:r>
              <w:rPr>
                <w:sz w:val="18"/>
                <w:szCs w:val="20"/>
              </w:rPr>
              <w:t>2.</w:t>
            </w:r>
          </w:p>
        </w:tc>
        <w:tc>
          <w:tcPr>
            <w:tcW w:w="4244" w:type="dxa"/>
          </w:tcPr>
          <w:p>
            <w:pPr>
              <w:spacing w:before="120" w:line="240" w:lineRule="auto"/>
              <w:contextualSpacing w:val="0"/>
              <w:rPr>
                <w:sz w:val="18"/>
                <w:szCs w:val="18"/>
              </w:rPr>
            </w:pPr>
            <w:r>
              <w:rPr>
                <w:sz w:val="18"/>
                <w:szCs w:val="18"/>
              </w:rPr>
              <w:t xml:space="preserve">Bereitstellung erforderlicher Fahrzeuge (LKW) für </w:t>
            </w:r>
            <w:r>
              <w:rPr>
                <w:b/>
                <w:bCs/>
                <w:sz w:val="18"/>
                <w:szCs w:val="18"/>
              </w:rPr>
              <w:t xml:space="preserve">einzulagerndes </w:t>
            </w:r>
            <w:r>
              <w:rPr>
                <w:sz w:val="18"/>
                <w:szCs w:val="18"/>
              </w:rPr>
              <w:t>Räumungsgut</w:t>
            </w:r>
          </w:p>
          <w:p>
            <w:pPr>
              <w:spacing w:before="120" w:line="240" w:lineRule="auto"/>
              <w:contextualSpacing w:val="0"/>
              <w:rPr>
                <w:sz w:val="14"/>
                <w:szCs w:val="14"/>
              </w:rPr>
            </w:pPr>
            <w:r>
              <w:rPr>
                <w:sz w:val="14"/>
                <w:szCs w:val="14"/>
              </w:rPr>
              <w:t>Ab Ankunft Räumungsanschrift bis Abfahrt vom Einlagerungsort</w:t>
            </w:r>
          </w:p>
          <w:p>
            <w:pPr>
              <w:spacing w:before="120" w:line="240" w:lineRule="auto"/>
              <w:contextualSpacing w:val="0"/>
              <w:rPr>
                <w:sz w:val="18"/>
                <w:szCs w:val="18"/>
              </w:rPr>
            </w:pPr>
            <w:r>
              <w:rPr>
                <w:sz w:val="14"/>
                <w:szCs w:val="14"/>
              </w:rPr>
              <w:t>An- und Abfahrt vom bzw. bis Firmensitz werden gem. Nr. 6a abgerechnet.</w:t>
            </w:r>
          </w:p>
        </w:tc>
        <w:tc>
          <w:tcPr>
            <w:tcW w:w="1426" w:type="dxa"/>
            <w:shd w:val="clear" w:color="auto" w:fill="auto"/>
            <w:vAlign w:val="center"/>
          </w:tcPr>
          <w:p>
            <w:pPr>
              <w:spacing w:before="120" w:line="240" w:lineRule="auto"/>
              <w:contextualSpacing w:val="0"/>
              <w:jc w:val="right"/>
              <w:rPr>
                <w:sz w:val="14"/>
                <w:szCs w:val="20"/>
              </w:rPr>
            </w:pPr>
            <w:r>
              <w:rPr>
                <w:sz w:val="14"/>
                <w:szCs w:val="20"/>
              </w:rPr>
              <w:t>Preis je Stunde pro eingesetztem LKW:</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shd w:val="clear" w:color="auto" w:fill="auto"/>
            <w:vAlign w:val="center"/>
          </w:tcPr>
          <w:p>
            <w:pPr>
              <w:spacing w:before="120" w:line="240" w:lineRule="auto"/>
              <w:contextualSpacing w:val="0"/>
              <w:jc w:val="center"/>
              <w:rPr>
                <w:sz w:val="18"/>
                <w:szCs w:val="20"/>
              </w:rPr>
            </w:pPr>
            <w:r>
              <w:rPr>
                <w:sz w:val="18"/>
                <w:szCs w:val="20"/>
              </w:rPr>
              <w:t>x 6</w:t>
            </w:r>
          </w:p>
          <w:p>
            <w:pPr>
              <w:spacing w:before="120" w:line="240" w:lineRule="auto"/>
              <w:contextualSpacing w:val="0"/>
              <w:jc w:val="center"/>
              <w:rPr>
                <w:sz w:val="18"/>
                <w:szCs w:val="20"/>
              </w:rPr>
            </w:pPr>
            <w:r>
              <w:rPr>
                <w:sz w:val="14"/>
                <w:szCs w:val="20"/>
              </w:rPr>
              <w:t xml:space="preserve">(Einsatz von 1 LKW für </w:t>
            </w:r>
            <w:r>
              <w:rPr>
                <w:sz w:val="14"/>
                <w:szCs w:val="20"/>
              </w:rPr>
              <w:br/>
              <w:t>6 Stunden)</w:t>
            </w:r>
          </w:p>
        </w:tc>
        <w:tc>
          <w:tcPr>
            <w:tcW w:w="1843" w:type="dxa"/>
            <w:gridSpan w:val="2"/>
            <w:tcBorders>
              <w:bottom w:val="nil"/>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p>
        </w:tc>
      </w:tr>
      <w:tr>
        <w:trPr>
          <w:gridAfter w:val="1"/>
          <w:wAfter w:w="8" w:type="dxa"/>
          <w:trHeight w:val="1077"/>
        </w:trPr>
        <w:tc>
          <w:tcPr>
            <w:tcW w:w="426" w:type="dxa"/>
            <w:tcBorders>
              <w:left w:val="single" w:sz="4" w:space="0" w:color="auto"/>
              <w:bottom w:val="single" w:sz="4" w:space="0" w:color="auto"/>
            </w:tcBorders>
          </w:tcPr>
          <w:p>
            <w:pPr>
              <w:spacing w:before="120" w:line="240" w:lineRule="auto"/>
              <w:contextualSpacing w:val="0"/>
              <w:jc w:val="center"/>
              <w:rPr>
                <w:sz w:val="18"/>
                <w:szCs w:val="20"/>
              </w:rPr>
            </w:pPr>
            <w:r>
              <w:rPr>
                <w:sz w:val="18"/>
                <w:szCs w:val="20"/>
              </w:rPr>
              <w:t>3.</w:t>
            </w:r>
          </w:p>
        </w:tc>
        <w:tc>
          <w:tcPr>
            <w:tcW w:w="4244" w:type="dxa"/>
            <w:tcBorders>
              <w:bottom w:val="single" w:sz="4" w:space="0" w:color="auto"/>
            </w:tcBorders>
          </w:tcPr>
          <w:p>
            <w:pPr>
              <w:spacing w:before="120" w:line="240" w:lineRule="auto"/>
              <w:contextualSpacing w:val="0"/>
              <w:rPr>
                <w:sz w:val="18"/>
                <w:szCs w:val="18"/>
              </w:rPr>
            </w:pPr>
            <w:r>
              <w:rPr>
                <w:sz w:val="18"/>
                <w:szCs w:val="18"/>
              </w:rPr>
              <w:t xml:space="preserve">Bereitstellung erforderlicher Fahrzeuge (LKW) oder Container für zu </w:t>
            </w:r>
            <w:r>
              <w:rPr>
                <w:b/>
                <w:bCs/>
                <w:sz w:val="18"/>
                <w:szCs w:val="18"/>
              </w:rPr>
              <w:t>entsorgendes</w:t>
            </w:r>
            <w:r>
              <w:rPr>
                <w:sz w:val="18"/>
                <w:szCs w:val="18"/>
              </w:rPr>
              <w:t xml:space="preserve"> Räumungsgut</w:t>
            </w:r>
          </w:p>
          <w:p>
            <w:pPr>
              <w:spacing w:before="120" w:line="240" w:lineRule="auto"/>
              <w:contextualSpacing w:val="0"/>
              <w:rPr>
                <w:sz w:val="14"/>
                <w:szCs w:val="14"/>
              </w:rPr>
            </w:pPr>
            <w:r>
              <w:rPr>
                <w:sz w:val="14"/>
                <w:szCs w:val="14"/>
              </w:rPr>
              <w:t>Ab Ankunft Räumungsanschrift bis Abfahrt vom Entsorgungsort</w:t>
            </w:r>
          </w:p>
          <w:p>
            <w:pPr>
              <w:spacing w:before="120" w:line="240" w:lineRule="auto"/>
              <w:contextualSpacing w:val="0"/>
              <w:rPr>
                <w:sz w:val="14"/>
                <w:szCs w:val="14"/>
                <w:highlight w:val="yellow"/>
              </w:rPr>
            </w:pPr>
            <w:r>
              <w:rPr>
                <w:sz w:val="14"/>
                <w:szCs w:val="14"/>
              </w:rPr>
              <w:t>An- und Abfahrt vom bzw. bis Firmensitz werden gem. Nr. 6a abgerechnet.</w:t>
            </w:r>
          </w:p>
        </w:tc>
        <w:tc>
          <w:tcPr>
            <w:tcW w:w="1426" w:type="dxa"/>
            <w:tcBorders>
              <w:bottom w:val="single" w:sz="4" w:space="0" w:color="auto"/>
            </w:tcBorders>
            <w:shd w:val="clear" w:color="auto" w:fill="auto"/>
            <w:vAlign w:val="center"/>
          </w:tcPr>
          <w:p>
            <w:pPr>
              <w:spacing w:before="120" w:line="240" w:lineRule="auto"/>
              <w:contextualSpacing w:val="0"/>
              <w:jc w:val="right"/>
              <w:rPr>
                <w:sz w:val="14"/>
                <w:szCs w:val="20"/>
              </w:rPr>
            </w:pPr>
            <w:r>
              <w:rPr>
                <w:sz w:val="14"/>
                <w:szCs w:val="20"/>
              </w:rPr>
              <w:t>Preis je Stunde pro eingesetztem LKW/Container:</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bottom w:val="single" w:sz="4" w:space="0" w:color="auto"/>
            </w:tcBorders>
            <w:shd w:val="clear" w:color="auto" w:fill="auto"/>
            <w:vAlign w:val="center"/>
          </w:tcPr>
          <w:p>
            <w:pPr>
              <w:spacing w:before="120" w:line="240" w:lineRule="auto"/>
              <w:contextualSpacing w:val="0"/>
              <w:jc w:val="center"/>
              <w:rPr>
                <w:sz w:val="18"/>
                <w:szCs w:val="20"/>
              </w:rPr>
            </w:pPr>
            <w:r>
              <w:rPr>
                <w:sz w:val="18"/>
                <w:szCs w:val="20"/>
              </w:rPr>
              <w:t>x 6</w:t>
            </w:r>
          </w:p>
          <w:p>
            <w:pPr>
              <w:spacing w:before="120" w:line="240" w:lineRule="auto"/>
              <w:contextualSpacing w:val="0"/>
              <w:jc w:val="center"/>
              <w:rPr>
                <w:sz w:val="18"/>
                <w:szCs w:val="20"/>
              </w:rPr>
            </w:pPr>
            <w:r>
              <w:rPr>
                <w:sz w:val="14"/>
                <w:szCs w:val="20"/>
              </w:rPr>
              <w:t>(Einsatz von 1 LKW/Container für 6 Stunden)</w:t>
            </w:r>
          </w:p>
        </w:tc>
        <w:tc>
          <w:tcPr>
            <w:tcW w:w="1843" w:type="dxa"/>
            <w:gridSpan w:val="2"/>
            <w:tcBorders>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p>
        </w:tc>
      </w:tr>
      <w:tr>
        <w:trPr>
          <w:gridAfter w:val="1"/>
          <w:wAfter w:w="8" w:type="dxa"/>
          <w:trHeight w:val="680"/>
        </w:trPr>
        <w:tc>
          <w:tcPr>
            <w:tcW w:w="426" w:type="dxa"/>
            <w:tcBorders>
              <w:top w:val="single" w:sz="4" w:space="0" w:color="auto"/>
              <w:left w:val="single" w:sz="4" w:space="0" w:color="auto"/>
              <w:bottom w:val="single" w:sz="4" w:space="0" w:color="auto"/>
            </w:tcBorders>
          </w:tcPr>
          <w:p>
            <w:pPr>
              <w:spacing w:before="120" w:line="240" w:lineRule="auto"/>
              <w:contextualSpacing w:val="0"/>
              <w:jc w:val="center"/>
              <w:rPr>
                <w:sz w:val="18"/>
                <w:szCs w:val="20"/>
              </w:rPr>
            </w:pPr>
            <w:r>
              <w:rPr>
                <w:sz w:val="18"/>
                <w:szCs w:val="20"/>
              </w:rPr>
              <w:t>4.</w:t>
            </w:r>
          </w:p>
        </w:tc>
        <w:tc>
          <w:tcPr>
            <w:tcW w:w="4244" w:type="dxa"/>
            <w:tcBorders>
              <w:top w:val="single" w:sz="4" w:space="0" w:color="auto"/>
              <w:bottom w:val="single" w:sz="4" w:space="0" w:color="auto"/>
            </w:tcBorders>
          </w:tcPr>
          <w:p>
            <w:pPr>
              <w:spacing w:before="120" w:line="240" w:lineRule="auto"/>
              <w:contextualSpacing w:val="0"/>
              <w:rPr>
                <w:sz w:val="18"/>
                <w:szCs w:val="20"/>
                <w:shd w:val="clear" w:color="auto" w:fill="00B0F0"/>
              </w:rPr>
            </w:pPr>
            <w:r>
              <w:rPr>
                <w:sz w:val="18"/>
                <w:szCs w:val="20"/>
              </w:rPr>
              <w:t xml:space="preserve">Kosten für eingesetzte Umzugskartons </w:t>
            </w:r>
          </w:p>
        </w:tc>
        <w:tc>
          <w:tcPr>
            <w:tcW w:w="1426" w:type="dxa"/>
            <w:tcBorders>
              <w:top w:val="single" w:sz="4" w:space="0" w:color="auto"/>
              <w:bottom w:val="single" w:sz="4" w:space="0" w:color="auto"/>
            </w:tcBorders>
            <w:shd w:val="clear" w:color="auto" w:fill="auto"/>
            <w:vAlign w:val="center"/>
          </w:tcPr>
          <w:p>
            <w:pPr>
              <w:spacing w:before="120" w:line="240" w:lineRule="auto"/>
              <w:contextualSpacing w:val="0"/>
              <w:jc w:val="right"/>
              <w:rPr>
                <w:sz w:val="14"/>
                <w:szCs w:val="20"/>
              </w:rPr>
            </w:pPr>
            <w:r>
              <w:rPr>
                <w:sz w:val="14"/>
                <w:szCs w:val="20"/>
              </w:rPr>
              <w:t>Preis pro Umzugskarton:</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top w:val="single" w:sz="4" w:space="0" w:color="auto"/>
              <w:bottom w:val="single" w:sz="4" w:space="0" w:color="auto"/>
            </w:tcBorders>
            <w:shd w:val="clear" w:color="auto" w:fill="auto"/>
            <w:vAlign w:val="center"/>
          </w:tcPr>
          <w:p>
            <w:pPr>
              <w:spacing w:before="120" w:line="240" w:lineRule="auto"/>
              <w:contextualSpacing w:val="0"/>
              <w:jc w:val="center"/>
              <w:rPr>
                <w:sz w:val="18"/>
                <w:szCs w:val="20"/>
              </w:rPr>
            </w:pPr>
            <w:r>
              <w:rPr>
                <w:sz w:val="18"/>
                <w:szCs w:val="20"/>
              </w:rPr>
              <w:t>x 50 Kartons</w:t>
            </w:r>
          </w:p>
        </w:tc>
        <w:tc>
          <w:tcPr>
            <w:tcW w:w="1843" w:type="dxa"/>
            <w:gridSpan w:val="2"/>
            <w:tcBorders>
              <w:top w:val="single" w:sz="4" w:space="0" w:color="auto"/>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p>
        </w:tc>
      </w:tr>
      <w:tr>
        <w:trPr>
          <w:gridAfter w:val="1"/>
          <w:wAfter w:w="8" w:type="dxa"/>
          <w:trHeight w:val="737"/>
        </w:trPr>
        <w:tc>
          <w:tcPr>
            <w:tcW w:w="426" w:type="dxa"/>
            <w:tcBorders>
              <w:top w:val="single" w:sz="4" w:space="0" w:color="auto"/>
              <w:left w:val="single" w:sz="4" w:space="0" w:color="auto"/>
            </w:tcBorders>
          </w:tcPr>
          <w:p>
            <w:pPr>
              <w:spacing w:before="120" w:line="240" w:lineRule="auto"/>
              <w:contextualSpacing w:val="0"/>
              <w:jc w:val="center"/>
              <w:rPr>
                <w:sz w:val="18"/>
                <w:szCs w:val="20"/>
              </w:rPr>
            </w:pPr>
            <w:r>
              <w:rPr>
                <w:sz w:val="18"/>
                <w:szCs w:val="20"/>
              </w:rPr>
              <w:t>5.</w:t>
            </w:r>
          </w:p>
        </w:tc>
        <w:tc>
          <w:tcPr>
            <w:tcW w:w="4244" w:type="dxa"/>
            <w:tcBorders>
              <w:top w:val="single" w:sz="4" w:space="0" w:color="auto"/>
            </w:tcBorders>
          </w:tcPr>
          <w:p>
            <w:pPr>
              <w:spacing w:before="120" w:line="240" w:lineRule="auto"/>
              <w:contextualSpacing w:val="0"/>
              <w:rPr>
                <w:sz w:val="18"/>
                <w:szCs w:val="20"/>
              </w:rPr>
            </w:pPr>
            <w:r>
              <w:rPr>
                <w:sz w:val="18"/>
                <w:szCs w:val="20"/>
              </w:rPr>
              <w:t>Kosten für genutzte Müllsäcke</w:t>
            </w:r>
          </w:p>
        </w:tc>
        <w:tc>
          <w:tcPr>
            <w:tcW w:w="1426" w:type="dxa"/>
            <w:tcBorders>
              <w:top w:val="single" w:sz="4" w:space="0" w:color="auto"/>
            </w:tcBorders>
            <w:shd w:val="clear" w:color="auto" w:fill="auto"/>
            <w:vAlign w:val="center"/>
          </w:tcPr>
          <w:p>
            <w:pPr>
              <w:spacing w:before="120" w:line="240" w:lineRule="auto"/>
              <w:contextualSpacing w:val="0"/>
              <w:jc w:val="right"/>
              <w:rPr>
                <w:sz w:val="14"/>
                <w:szCs w:val="20"/>
              </w:rPr>
            </w:pPr>
            <w:r>
              <w:rPr>
                <w:sz w:val="14"/>
                <w:szCs w:val="20"/>
              </w:rPr>
              <w:t>Preis pro Sack:</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top w:val="single" w:sz="4" w:space="0" w:color="auto"/>
            </w:tcBorders>
            <w:shd w:val="clear" w:color="auto" w:fill="auto"/>
            <w:vAlign w:val="center"/>
          </w:tcPr>
          <w:p>
            <w:pPr>
              <w:spacing w:before="120" w:line="240" w:lineRule="auto"/>
              <w:contextualSpacing w:val="0"/>
              <w:jc w:val="center"/>
              <w:rPr>
                <w:sz w:val="18"/>
                <w:szCs w:val="20"/>
              </w:rPr>
            </w:pPr>
            <w:r>
              <w:rPr>
                <w:sz w:val="18"/>
                <w:szCs w:val="20"/>
              </w:rPr>
              <w:t>x 20 Säcke</w:t>
            </w:r>
          </w:p>
        </w:tc>
        <w:tc>
          <w:tcPr>
            <w:tcW w:w="1843" w:type="dxa"/>
            <w:gridSpan w:val="2"/>
            <w:tcBorders>
              <w:top w:val="single" w:sz="4" w:space="0" w:color="auto"/>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u w:val="single"/>
              </w:rPr>
            </w:pPr>
          </w:p>
        </w:tc>
      </w:tr>
      <w:tr>
        <w:trPr>
          <w:gridAfter w:val="1"/>
          <w:wAfter w:w="8" w:type="dxa"/>
          <w:trHeight w:val="1289"/>
        </w:trPr>
        <w:tc>
          <w:tcPr>
            <w:tcW w:w="426" w:type="dxa"/>
            <w:tcBorders>
              <w:left w:val="single" w:sz="4" w:space="0" w:color="auto"/>
              <w:bottom w:val="single" w:sz="4" w:space="0" w:color="auto"/>
            </w:tcBorders>
          </w:tcPr>
          <w:p>
            <w:pPr>
              <w:spacing w:before="120" w:line="240" w:lineRule="auto"/>
              <w:contextualSpacing w:val="0"/>
              <w:jc w:val="center"/>
              <w:rPr>
                <w:color w:val="000000" w:themeColor="text1"/>
                <w:sz w:val="18"/>
                <w:szCs w:val="20"/>
              </w:rPr>
            </w:pPr>
            <w:r>
              <w:rPr>
                <w:color w:val="000000" w:themeColor="text1"/>
                <w:sz w:val="18"/>
                <w:szCs w:val="20"/>
              </w:rPr>
              <w:t>6a.</w:t>
            </w:r>
          </w:p>
        </w:tc>
        <w:tc>
          <w:tcPr>
            <w:tcW w:w="4244" w:type="dxa"/>
            <w:tcBorders>
              <w:bottom w:val="single" w:sz="4" w:space="0" w:color="auto"/>
            </w:tcBorders>
          </w:tcPr>
          <w:p>
            <w:pPr>
              <w:spacing w:before="120" w:line="240" w:lineRule="auto"/>
              <w:contextualSpacing w:val="0"/>
              <w:rPr>
                <w:color w:val="000000" w:themeColor="text1"/>
                <w:sz w:val="18"/>
                <w:szCs w:val="20"/>
              </w:rPr>
            </w:pPr>
            <w:r>
              <w:rPr>
                <w:color w:val="000000" w:themeColor="text1"/>
                <w:sz w:val="18"/>
                <w:szCs w:val="20"/>
              </w:rPr>
              <w:t>Fahrtkosten:</w:t>
            </w:r>
          </w:p>
          <w:p>
            <w:pPr>
              <w:spacing w:before="120" w:line="240" w:lineRule="auto"/>
              <w:rPr>
                <w:color w:val="000000" w:themeColor="text1"/>
                <w:sz w:val="16"/>
                <w:szCs w:val="18"/>
              </w:rPr>
            </w:pPr>
            <w:r>
              <w:rPr>
                <w:color w:val="000000" w:themeColor="text1"/>
                <w:sz w:val="16"/>
                <w:szCs w:val="18"/>
              </w:rPr>
              <w:t>- vom Firmensitz zur Räumungsanschrift</w:t>
            </w:r>
          </w:p>
          <w:p>
            <w:pPr>
              <w:spacing w:before="120" w:line="240" w:lineRule="auto"/>
              <w:rPr>
                <w:color w:val="000000" w:themeColor="text1"/>
                <w:sz w:val="16"/>
                <w:szCs w:val="18"/>
              </w:rPr>
            </w:pPr>
            <w:r>
              <w:rPr>
                <w:color w:val="000000" w:themeColor="text1"/>
                <w:sz w:val="16"/>
                <w:szCs w:val="18"/>
              </w:rPr>
              <w:t>- von der Räumungsanschrift zur Entladestelle (Entsorgungs-/Vernichtungsstelle und/oder Lageranschrift)</w:t>
            </w:r>
          </w:p>
          <w:p>
            <w:pPr>
              <w:spacing w:before="120" w:line="240" w:lineRule="auto"/>
              <w:rPr>
                <w:color w:val="000000" w:themeColor="text1"/>
                <w:sz w:val="16"/>
                <w:szCs w:val="18"/>
              </w:rPr>
            </w:pPr>
            <w:r>
              <w:rPr>
                <w:color w:val="000000" w:themeColor="text1"/>
                <w:sz w:val="16"/>
                <w:szCs w:val="18"/>
              </w:rPr>
              <w:t>- von der Entladestelle zurück zum Firmensitz</w:t>
            </w:r>
          </w:p>
          <w:p>
            <w:pPr>
              <w:spacing w:before="120" w:line="240" w:lineRule="auto"/>
              <w:rPr>
                <w:color w:val="000000" w:themeColor="text1"/>
                <w:sz w:val="12"/>
                <w:szCs w:val="18"/>
              </w:rPr>
            </w:pPr>
          </w:p>
          <w:p>
            <w:pPr>
              <w:spacing w:before="120" w:line="240" w:lineRule="auto"/>
              <w:contextualSpacing w:val="0"/>
              <w:rPr>
                <w:color w:val="000000" w:themeColor="text1"/>
                <w:sz w:val="14"/>
                <w:szCs w:val="20"/>
              </w:rPr>
            </w:pPr>
            <w:r>
              <w:rPr>
                <w:color w:val="000000" w:themeColor="text1"/>
                <w:sz w:val="14"/>
                <w:szCs w:val="20"/>
              </w:rPr>
              <w:t>(inkl. Personalkosten hinsichtlich der Fahrzeiten)</w:t>
            </w:r>
          </w:p>
        </w:tc>
        <w:tc>
          <w:tcPr>
            <w:tcW w:w="1426" w:type="dxa"/>
            <w:tcBorders>
              <w:bottom w:val="single" w:sz="4" w:space="0" w:color="auto"/>
            </w:tcBorders>
            <w:shd w:val="clear" w:color="auto" w:fill="auto"/>
            <w:vAlign w:val="center"/>
          </w:tcPr>
          <w:p>
            <w:pPr>
              <w:spacing w:before="120" w:line="240" w:lineRule="auto"/>
              <w:contextualSpacing w:val="0"/>
              <w:jc w:val="right"/>
              <w:rPr>
                <w:sz w:val="12"/>
                <w:szCs w:val="16"/>
              </w:rPr>
            </w:pPr>
            <w:r>
              <w:rPr>
                <w:sz w:val="14"/>
                <w:szCs w:val="20"/>
              </w:rPr>
              <w:t xml:space="preserve">Preis </w:t>
            </w:r>
            <w:r>
              <w:rPr>
                <w:color w:val="000000" w:themeColor="text1"/>
                <w:sz w:val="14"/>
                <w:szCs w:val="20"/>
              </w:rPr>
              <w:t>je km:</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bottom w:val="single" w:sz="4" w:space="0" w:color="auto"/>
            </w:tcBorders>
            <w:shd w:val="clear" w:color="auto" w:fill="auto"/>
            <w:vAlign w:val="center"/>
          </w:tcPr>
          <w:p>
            <w:pPr>
              <w:spacing w:before="120" w:line="240" w:lineRule="auto"/>
              <w:contextualSpacing w:val="0"/>
              <w:jc w:val="center"/>
              <w:rPr>
                <w:sz w:val="18"/>
                <w:szCs w:val="20"/>
              </w:rPr>
            </w:pPr>
            <w:r>
              <w:rPr>
                <w:sz w:val="18"/>
                <w:szCs w:val="20"/>
                <w:u w:val="single"/>
              </w:rPr>
              <w:t xml:space="preserve">x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r>
              <w:rPr>
                <w:sz w:val="18"/>
                <w:szCs w:val="20"/>
              </w:rPr>
              <w:t xml:space="preserve"> km</w:t>
            </w:r>
          </w:p>
          <w:p>
            <w:pPr>
              <w:spacing w:before="120" w:line="240" w:lineRule="auto"/>
              <w:contextualSpacing w:val="0"/>
              <w:jc w:val="center"/>
              <w:rPr>
                <w:sz w:val="18"/>
                <w:szCs w:val="20"/>
              </w:rPr>
            </w:pPr>
            <w:r>
              <w:rPr>
                <w:sz w:val="14"/>
                <w:szCs w:val="14"/>
              </w:rPr>
              <w:t>(</w:t>
            </w:r>
            <w:r>
              <w:rPr>
                <w:b/>
                <w:bCs/>
                <w:sz w:val="14"/>
                <w:szCs w:val="14"/>
              </w:rPr>
              <w:t>dreifache</w:t>
            </w:r>
            <w:r>
              <w:rPr>
                <w:sz w:val="14"/>
                <w:szCs w:val="14"/>
              </w:rPr>
              <w:t xml:space="preserve"> Fahrstrecke zw. Firmensitz und Lagerstätte gem. B. I. Nr. 3.1 - durch den Bieter einzutragen)</w:t>
            </w:r>
          </w:p>
        </w:tc>
        <w:tc>
          <w:tcPr>
            <w:tcW w:w="1843" w:type="dxa"/>
            <w:gridSpan w:val="2"/>
            <w:tcBorders>
              <w:top w:val="single" w:sz="4" w:space="0" w:color="auto"/>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p>
        </w:tc>
      </w:tr>
      <w:tr>
        <w:trPr>
          <w:gridAfter w:val="1"/>
          <w:wAfter w:w="8" w:type="dxa"/>
          <w:trHeight w:val="678"/>
        </w:trPr>
        <w:tc>
          <w:tcPr>
            <w:tcW w:w="426" w:type="dxa"/>
            <w:tcBorders>
              <w:top w:val="single" w:sz="4" w:space="0" w:color="auto"/>
              <w:left w:val="single" w:sz="4" w:space="0" w:color="auto"/>
              <w:bottom w:val="single" w:sz="4" w:space="0" w:color="auto"/>
            </w:tcBorders>
          </w:tcPr>
          <w:p>
            <w:pPr>
              <w:spacing w:before="120" w:line="240" w:lineRule="auto"/>
              <w:contextualSpacing w:val="0"/>
              <w:jc w:val="center"/>
              <w:rPr>
                <w:sz w:val="18"/>
                <w:szCs w:val="20"/>
              </w:rPr>
            </w:pPr>
            <w:r>
              <w:rPr>
                <w:sz w:val="18"/>
                <w:szCs w:val="20"/>
              </w:rPr>
              <w:t>6b.</w:t>
            </w:r>
          </w:p>
        </w:tc>
        <w:tc>
          <w:tcPr>
            <w:tcW w:w="4244" w:type="dxa"/>
            <w:tcBorders>
              <w:top w:val="single" w:sz="4" w:space="0" w:color="auto"/>
              <w:bottom w:val="single" w:sz="4" w:space="0" w:color="auto"/>
            </w:tcBorders>
          </w:tcPr>
          <w:p>
            <w:pPr>
              <w:spacing w:before="120" w:line="240" w:lineRule="auto"/>
              <w:contextualSpacing w:val="0"/>
              <w:rPr>
                <w:sz w:val="14"/>
                <w:szCs w:val="20"/>
              </w:rPr>
            </w:pPr>
            <w:r>
              <w:rPr>
                <w:sz w:val="18"/>
                <w:szCs w:val="20"/>
              </w:rPr>
              <w:t>Fahrtkosten für</w:t>
            </w:r>
            <w:r>
              <w:rPr>
                <w:sz w:val="14"/>
                <w:szCs w:val="20"/>
              </w:rPr>
              <w:br/>
            </w:r>
            <w:r>
              <w:rPr>
                <w:sz w:val="18"/>
                <w:szCs w:val="20"/>
              </w:rPr>
              <w:t>- zusätzliche An- und Abfahrten zum Lagerort</w:t>
            </w:r>
            <w:r>
              <w:rPr>
                <w:sz w:val="18"/>
                <w:szCs w:val="20"/>
              </w:rPr>
              <w:br/>
              <w:t xml:space="preserve">  </w:t>
            </w:r>
            <w:r>
              <w:rPr>
                <w:sz w:val="14"/>
                <w:szCs w:val="20"/>
              </w:rPr>
              <w:t>(z. B. um Schuldner Zutritt zu gewähren)</w:t>
            </w:r>
          </w:p>
          <w:p>
            <w:pPr>
              <w:spacing w:before="120" w:line="240" w:lineRule="auto"/>
              <w:contextualSpacing w:val="0"/>
              <w:rPr>
                <w:sz w:val="18"/>
                <w:szCs w:val="20"/>
              </w:rPr>
            </w:pPr>
            <w:r>
              <w:rPr>
                <w:sz w:val="18"/>
                <w:szCs w:val="20"/>
              </w:rPr>
              <w:t>- Vorbereitung einer Versteigerung</w:t>
            </w:r>
          </w:p>
          <w:p>
            <w:pPr>
              <w:spacing w:before="120" w:line="240" w:lineRule="auto"/>
              <w:contextualSpacing w:val="0"/>
              <w:rPr>
                <w:sz w:val="18"/>
                <w:szCs w:val="20"/>
              </w:rPr>
            </w:pPr>
            <w:r>
              <w:rPr>
                <w:sz w:val="14"/>
                <w:szCs w:val="20"/>
              </w:rPr>
              <w:t>(inkl. Personalkosten hinsichtlich der Fahrzeiten)</w:t>
            </w:r>
          </w:p>
        </w:tc>
        <w:tc>
          <w:tcPr>
            <w:tcW w:w="1426" w:type="dxa"/>
            <w:tcBorders>
              <w:top w:val="single" w:sz="4" w:space="0" w:color="auto"/>
              <w:bottom w:val="single" w:sz="4" w:space="0" w:color="auto"/>
            </w:tcBorders>
            <w:shd w:val="clear" w:color="auto" w:fill="auto"/>
            <w:vAlign w:val="center"/>
          </w:tcPr>
          <w:p>
            <w:pPr>
              <w:spacing w:before="120" w:line="240" w:lineRule="auto"/>
              <w:contextualSpacing w:val="0"/>
              <w:jc w:val="right"/>
              <w:rPr>
                <w:sz w:val="12"/>
                <w:szCs w:val="16"/>
              </w:rPr>
            </w:pPr>
            <w:r>
              <w:rPr>
                <w:sz w:val="14"/>
                <w:szCs w:val="20"/>
              </w:rPr>
              <w:t xml:space="preserve">Preis </w:t>
            </w:r>
            <w:r>
              <w:rPr>
                <w:color w:val="000000" w:themeColor="text1"/>
                <w:sz w:val="14"/>
                <w:szCs w:val="20"/>
              </w:rPr>
              <w:t>je km:</w:t>
            </w:r>
          </w:p>
          <w:p>
            <w:pPr>
              <w:spacing w:before="120" w:line="240" w:lineRule="auto"/>
              <w:contextualSpacing w:val="0"/>
              <w:jc w:val="right"/>
              <w:rPr>
                <w:sz w:val="14"/>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top w:val="single" w:sz="4" w:space="0" w:color="auto"/>
              <w:bottom w:val="single" w:sz="4" w:space="0" w:color="auto"/>
            </w:tcBorders>
            <w:shd w:val="clear" w:color="auto" w:fill="auto"/>
            <w:vAlign w:val="center"/>
          </w:tcPr>
          <w:p>
            <w:pPr>
              <w:spacing w:before="120" w:line="240" w:lineRule="auto"/>
              <w:contextualSpacing w:val="0"/>
              <w:jc w:val="center"/>
              <w:rPr>
                <w:sz w:val="16"/>
                <w:szCs w:val="20"/>
              </w:rPr>
            </w:pPr>
            <w:r>
              <w:rPr>
                <w:sz w:val="18"/>
                <w:szCs w:val="20"/>
                <w:u w:val="single"/>
              </w:rPr>
              <w:t xml:space="preserve">x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r>
              <w:rPr>
                <w:sz w:val="18"/>
                <w:szCs w:val="20"/>
              </w:rPr>
              <w:t xml:space="preserve"> km</w:t>
            </w:r>
          </w:p>
          <w:p>
            <w:pPr>
              <w:spacing w:before="120" w:line="240" w:lineRule="auto"/>
              <w:contextualSpacing w:val="0"/>
              <w:jc w:val="center"/>
              <w:rPr>
                <w:sz w:val="18"/>
                <w:szCs w:val="20"/>
                <w:u w:val="single"/>
              </w:rPr>
            </w:pPr>
            <w:r>
              <w:rPr>
                <w:sz w:val="14"/>
                <w:szCs w:val="14"/>
              </w:rPr>
              <w:t>(Doppelte Fahrstrecke zw. Firmensitz und Lagerstätte gem. B. I. Nr. 3.1 - durch den Bieter einzutragen)</w:t>
            </w:r>
          </w:p>
        </w:tc>
        <w:tc>
          <w:tcPr>
            <w:tcW w:w="1843" w:type="dxa"/>
            <w:gridSpan w:val="2"/>
            <w:tcBorders>
              <w:top w:val="single" w:sz="4" w:space="0" w:color="auto"/>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u w:val="single"/>
              </w:rPr>
            </w:pPr>
          </w:p>
        </w:tc>
      </w:tr>
      <w:tr>
        <w:trPr>
          <w:gridAfter w:val="1"/>
          <w:wAfter w:w="8" w:type="dxa"/>
          <w:trHeight w:val="734"/>
        </w:trPr>
        <w:tc>
          <w:tcPr>
            <w:tcW w:w="426" w:type="dxa"/>
            <w:tcBorders>
              <w:top w:val="single" w:sz="4" w:space="0" w:color="auto"/>
              <w:left w:val="single" w:sz="4" w:space="0" w:color="auto"/>
              <w:bottom w:val="single" w:sz="4" w:space="0" w:color="auto"/>
            </w:tcBorders>
          </w:tcPr>
          <w:p>
            <w:pPr>
              <w:spacing w:before="120" w:line="240" w:lineRule="auto"/>
              <w:contextualSpacing w:val="0"/>
              <w:jc w:val="center"/>
              <w:rPr>
                <w:sz w:val="18"/>
                <w:szCs w:val="20"/>
              </w:rPr>
            </w:pPr>
            <w:r>
              <w:rPr>
                <w:sz w:val="18"/>
                <w:szCs w:val="20"/>
              </w:rPr>
              <w:t>7.</w:t>
            </w:r>
          </w:p>
        </w:tc>
        <w:tc>
          <w:tcPr>
            <w:tcW w:w="4244" w:type="dxa"/>
            <w:tcBorders>
              <w:top w:val="single" w:sz="4" w:space="0" w:color="auto"/>
              <w:bottom w:val="single" w:sz="4" w:space="0" w:color="auto"/>
            </w:tcBorders>
            <w:shd w:val="clear" w:color="auto" w:fill="auto"/>
          </w:tcPr>
          <w:p>
            <w:pPr>
              <w:spacing w:before="120" w:line="240" w:lineRule="auto"/>
              <w:contextualSpacing w:val="0"/>
              <w:rPr>
                <w:sz w:val="18"/>
                <w:szCs w:val="20"/>
              </w:rPr>
            </w:pPr>
            <w:r>
              <w:rPr>
                <w:sz w:val="18"/>
                <w:szCs w:val="20"/>
              </w:rPr>
              <w:t>Einlagerung von Räumungsgut</w:t>
            </w:r>
          </w:p>
          <w:p>
            <w:pPr>
              <w:spacing w:before="120" w:line="240" w:lineRule="auto"/>
              <w:contextualSpacing w:val="0"/>
              <w:rPr>
                <w:sz w:val="18"/>
                <w:szCs w:val="20"/>
              </w:rPr>
            </w:pPr>
          </w:p>
        </w:tc>
        <w:tc>
          <w:tcPr>
            <w:tcW w:w="1426" w:type="dxa"/>
            <w:tcBorders>
              <w:top w:val="single" w:sz="4" w:space="0" w:color="auto"/>
              <w:bottom w:val="single" w:sz="4" w:space="0" w:color="auto"/>
            </w:tcBorders>
            <w:shd w:val="clear" w:color="auto" w:fill="auto"/>
            <w:vAlign w:val="center"/>
          </w:tcPr>
          <w:p>
            <w:pPr>
              <w:spacing w:before="120" w:line="240" w:lineRule="auto"/>
              <w:contextualSpacing w:val="0"/>
              <w:jc w:val="right"/>
              <w:rPr>
                <w:sz w:val="14"/>
                <w:szCs w:val="20"/>
              </w:rPr>
            </w:pPr>
            <w:r>
              <w:rPr>
                <w:sz w:val="14"/>
                <w:szCs w:val="20"/>
              </w:rPr>
              <w:t>Preis je m³/Tag</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top w:val="single" w:sz="4" w:space="0" w:color="auto"/>
              <w:bottom w:val="single" w:sz="4" w:space="0" w:color="auto"/>
            </w:tcBorders>
            <w:shd w:val="clear" w:color="auto" w:fill="auto"/>
            <w:vAlign w:val="center"/>
          </w:tcPr>
          <w:p>
            <w:pPr>
              <w:spacing w:before="120" w:line="240" w:lineRule="auto"/>
              <w:contextualSpacing w:val="0"/>
              <w:jc w:val="center"/>
              <w:rPr>
                <w:sz w:val="18"/>
                <w:szCs w:val="20"/>
              </w:rPr>
            </w:pPr>
            <w:r>
              <w:rPr>
                <w:sz w:val="18"/>
                <w:szCs w:val="20"/>
              </w:rPr>
              <w:t>x 300</w:t>
            </w:r>
          </w:p>
          <w:p>
            <w:pPr>
              <w:spacing w:before="120" w:line="240" w:lineRule="auto"/>
              <w:contextualSpacing w:val="0"/>
              <w:jc w:val="center"/>
              <w:rPr>
                <w:sz w:val="18"/>
                <w:szCs w:val="20"/>
              </w:rPr>
            </w:pPr>
            <w:r>
              <w:rPr>
                <w:sz w:val="14"/>
                <w:szCs w:val="20"/>
              </w:rPr>
              <w:t>(Einlagerung von 10 m³ für 30 Tage)</w:t>
            </w:r>
          </w:p>
        </w:tc>
        <w:tc>
          <w:tcPr>
            <w:tcW w:w="1843" w:type="dxa"/>
            <w:gridSpan w:val="2"/>
            <w:tcBorders>
              <w:top w:val="single" w:sz="4" w:space="0" w:color="auto"/>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4"/>
                <w:szCs w:val="20"/>
              </w:rPr>
            </w:pPr>
          </w:p>
        </w:tc>
      </w:tr>
      <w:tr>
        <w:trPr>
          <w:gridAfter w:val="1"/>
          <w:wAfter w:w="8" w:type="dxa"/>
          <w:trHeight w:val="700"/>
        </w:trPr>
        <w:tc>
          <w:tcPr>
            <w:tcW w:w="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jc w:val="center"/>
              <w:rPr>
                <w:sz w:val="18"/>
                <w:szCs w:val="20"/>
              </w:rPr>
            </w:pPr>
            <w:r>
              <w:rPr>
                <w:sz w:val="18"/>
                <w:szCs w:val="20"/>
              </w:rPr>
              <w:t>8.</w:t>
            </w:r>
          </w:p>
        </w:tc>
        <w:tc>
          <w:tcPr>
            <w:tcW w:w="4244"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Schmutzzulage</w:t>
            </w:r>
            <w:r>
              <w:rPr>
                <w:rStyle w:val="Funotenzeichen"/>
                <w:sz w:val="18"/>
                <w:szCs w:val="20"/>
              </w:rPr>
              <w:footnoteReference w:id="1"/>
            </w:r>
          </w:p>
          <w:p>
            <w:pPr>
              <w:spacing w:before="120" w:line="240" w:lineRule="auto"/>
              <w:contextualSpacing w:val="0"/>
              <w:rPr>
                <w:sz w:val="18"/>
                <w:szCs w:val="20"/>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4"/>
                <w:szCs w:val="20"/>
              </w:rPr>
            </w:pPr>
            <w:r>
              <w:rPr>
                <w:sz w:val="14"/>
                <w:szCs w:val="20"/>
              </w:rPr>
              <w:t xml:space="preserve">Preis je Arbeitsstunde </w:t>
            </w:r>
            <w:proofErr w:type="gramStart"/>
            <w:r>
              <w:rPr>
                <w:sz w:val="14"/>
                <w:szCs w:val="20"/>
              </w:rPr>
              <w:t>pro eingesetztem Mitarbeiter</w:t>
            </w:r>
            <w:proofErr w:type="gramEnd"/>
            <w:r>
              <w:rPr>
                <w:sz w:val="14"/>
                <w:szCs w:val="20"/>
              </w:rPr>
              <w:t xml:space="preserve">: </w:t>
            </w:r>
          </w:p>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center"/>
              <w:rPr>
                <w:sz w:val="18"/>
                <w:szCs w:val="20"/>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pPr>
              <w:spacing w:before="120" w:line="240" w:lineRule="auto"/>
              <w:contextualSpacing w:val="0"/>
              <w:jc w:val="center"/>
              <w:rPr>
                <w:sz w:val="18"/>
                <w:szCs w:val="20"/>
                <w:highlight w:val="yellow"/>
              </w:rPr>
            </w:pPr>
          </w:p>
        </w:tc>
      </w:tr>
      <w:tr>
        <w:trPr>
          <w:gridAfter w:val="1"/>
          <w:wAfter w:w="8" w:type="dxa"/>
          <w:trHeight w:val="1022"/>
        </w:trPr>
        <w:tc>
          <w:tcPr>
            <w:tcW w:w="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jc w:val="center"/>
              <w:rPr>
                <w:sz w:val="18"/>
                <w:szCs w:val="20"/>
              </w:rPr>
            </w:pPr>
            <w:r>
              <w:rPr>
                <w:sz w:val="18"/>
                <w:szCs w:val="20"/>
              </w:rPr>
              <w:t>9.</w:t>
            </w:r>
          </w:p>
        </w:tc>
        <w:tc>
          <w:tcPr>
            <w:tcW w:w="4244"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Bereitstellung eines Außenaufzuges</w:t>
            </w:r>
          </w:p>
        </w:tc>
        <w:tc>
          <w:tcPr>
            <w:tcW w:w="1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4"/>
                <w:szCs w:val="20"/>
              </w:rPr>
            </w:pPr>
            <w:r>
              <w:rPr>
                <w:sz w:val="14"/>
                <w:szCs w:val="20"/>
              </w:rPr>
              <w:t xml:space="preserve">Preis je Stunde </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39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pPr>
              <w:spacing w:before="120" w:line="240" w:lineRule="auto"/>
              <w:contextualSpacing w:val="0"/>
              <w:jc w:val="center"/>
              <w:rPr>
                <w:sz w:val="14"/>
                <w:szCs w:val="20"/>
                <w:highlight w:val="yellow"/>
              </w:rPr>
            </w:pPr>
          </w:p>
        </w:tc>
      </w:tr>
      <w:tr>
        <w:trPr>
          <w:gridAfter w:val="1"/>
          <w:wAfter w:w="8" w:type="dxa"/>
          <w:trHeight w:val="832"/>
        </w:trPr>
        <w:tc>
          <w:tcPr>
            <w:tcW w:w="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10.</w:t>
            </w:r>
          </w:p>
        </w:tc>
        <w:tc>
          <w:tcPr>
            <w:tcW w:w="4244"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Unterstützungsdienstleistung hinsichtlich einer Versteigerung</w:t>
            </w:r>
          </w:p>
          <w:p>
            <w:pPr>
              <w:spacing w:before="120" w:line="240" w:lineRule="auto"/>
              <w:contextualSpacing w:val="0"/>
              <w:rPr>
                <w:sz w:val="18"/>
                <w:szCs w:val="20"/>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4"/>
                <w:szCs w:val="20"/>
              </w:rPr>
            </w:pPr>
            <w:r>
              <w:rPr>
                <w:sz w:val="14"/>
                <w:szCs w:val="20"/>
              </w:rPr>
              <w:t xml:space="preserve">Preis je Arbeitsstunde </w:t>
            </w:r>
            <w:proofErr w:type="gramStart"/>
            <w:r>
              <w:rPr>
                <w:sz w:val="14"/>
                <w:szCs w:val="20"/>
              </w:rPr>
              <w:t>pro eingesetztem Mitarbeiter</w:t>
            </w:r>
            <w:proofErr w:type="gramEnd"/>
            <w:r>
              <w:rPr>
                <w:sz w:val="14"/>
                <w:szCs w:val="20"/>
              </w:rPr>
              <w:t xml:space="preserve">: </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39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pPr>
              <w:spacing w:before="120" w:line="240" w:lineRule="auto"/>
              <w:contextualSpacing w:val="0"/>
              <w:jc w:val="center"/>
              <w:rPr>
                <w:sz w:val="18"/>
                <w:szCs w:val="20"/>
                <w:highlight w:val="yellow"/>
              </w:rPr>
            </w:pPr>
          </w:p>
        </w:tc>
      </w:tr>
      <w:tr>
        <w:trPr>
          <w:gridAfter w:val="1"/>
          <w:wAfter w:w="8" w:type="dxa"/>
          <w:trHeight w:val="832"/>
        </w:trPr>
        <w:tc>
          <w:tcPr>
            <w:tcW w:w="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11.</w:t>
            </w:r>
          </w:p>
        </w:tc>
        <w:tc>
          <w:tcPr>
            <w:tcW w:w="4244"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 xml:space="preserve">Kosten für weiteres Verpackungsmaterial (z. B. für Klebeband, </w:t>
            </w:r>
            <w:proofErr w:type="spellStart"/>
            <w:r>
              <w:rPr>
                <w:sz w:val="18"/>
                <w:szCs w:val="20"/>
              </w:rPr>
              <w:t>Stretchfolie</w:t>
            </w:r>
            <w:proofErr w:type="spellEnd"/>
            <w:r>
              <w:rPr>
                <w:sz w:val="18"/>
                <w:szCs w:val="20"/>
              </w:rPr>
              <w:t>, Packpapier)</w:t>
            </w:r>
          </w:p>
        </w:tc>
        <w:tc>
          <w:tcPr>
            <w:tcW w:w="1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4"/>
                <w:szCs w:val="20"/>
              </w:rPr>
              <w:t>Preis gem. Anlage R_7</w:t>
            </w:r>
          </w:p>
        </w:tc>
        <w:tc>
          <w:tcPr>
            <w:tcW w:w="39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pPr>
              <w:spacing w:before="120" w:line="240" w:lineRule="auto"/>
              <w:contextualSpacing w:val="0"/>
              <w:jc w:val="center"/>
              <w:rPr>
                <w:sz w:val="14"/>
                <w:szCs w:val="14"/>
                <w:highlight w:val="yellow"/>
              </w:rPr>
            </w:pPr>
          </w:p>
        </w:tc>
      </w:tr>
      <w:tr>
        <w:trPr>
          <w:gridAfter w:val="1"/>
          <w:wAfter w:w="8" w:type="dxa"/>
          <w:trHeight w:val="832"/>
        </w:trPr>
        <w:tc>
          <w:tcPr>
            <w:tcW w:w="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12.</w:t>
            </w:r>
          </w:p>
        </w:tc>
        <w:tc>
          <w:tcPr>
            <w:tcW w:w="4244"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 xml:space="preserve">Kosten für die Stornierung eines Auftrages </w:t>
            </w:r>
          </w:p>
          <w:p>
            <w:pPr>
              <w:spacing w:before="120" w:line="240" w:lineRule="auto"/>
              <w:contextualSpacing w:val="0"/>
              <w:rPr>
                <w:sz w:val="18"/>
                <w:szCs w:val="20"/>
              </w:rPr>
            </w:pPr>
            <w:r>
              <w:rPr>
                <w:sz w:val="18"/>
                <w:szCs w:val="20"/>
              </w:rPr>
              <w:t>a.) bis zu 14 Kalendertage vor Termin</w:t>
            </w:r>
          </w:p>
          <w:p>
            <w:pPr>
              <w:spacing w:before="120" w:line="240" w:lineRule="auto"/>
              <w:contextualSpacing w:val="0"/>
              <w:rPr>
                <w:sz w:val="18"/>
                <w:szCs w:val="20"/>
              </w:rPr>
            </w:pPr>
            <w:r>
              <w:rPr>
                <w:sz w:val="18"/>
                <w:szCs w:val="20"/>
              </w:rPr>
              <w:t>b.) 13 bis 5 Kalendertage vor Termin</w:t>
            </w:r>
          </w:p>
          <w:p>
            <w:pPr>
              <w:spacing w:before="120" w:line="240" w:lineRule="auto"/>
              <w:contextualSpacing w:val="0"/>
              <w:rPr>
                <w:sz w:val="18"/>
                <w:szCs w:val="20"/>
              </w:rPr>
            </w:pPr>
            <w:r>
              <w:rPr>
                <w:sz w:val="18"/>
                <w:szCs w:val="20"/>
              </w:rPr>
              <w:t>c.) ab 4 Kalendertage vor Termin</w:t>
            </w:r>
          </w:p>
          <w:p>
            <w:pPr>
              <w:spacing w:before="120" w:line="240" w:lineRule="auto"/>
              <w:contextualSpacing w:val="0"/>
              <w:rPr>
                <w:color w:val="000000" w:themeColor="text1"/>
                <w:sz w:val="18"/>
                <w:szCs w:val="20"/>
              </w:rPr>
            </w:pPr>
            <w:r>
              <w:rPr>
                <w:color w:val="000000" w:themeColor="text1"/>
                <w:sz w:val="18"/>
                <w:szCs w:val="20"/>
              </w:rPr>
              <w:t>d) am Räumungstag</w:t>
            </w:r>
          </w:p>
        </w:tc>
        <w:tc>
          <w:tcPr>
            <w:tcW w:w="1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4"/>
                <w:szCs w:val="20"/>
              </w:rPr>
            </w:pPr>
            <w:r>
              <w:rPr>
                <w:sz w:val="14"/>
                <w:szCs w:val="20"/>
              </w:rPr>
              <w:t>Preis je storniertem Auftrag</w:t>
            </w:r>
          </w:p>
          <w:p>
            <w:pPr>
              <w:spacing w:before="120" w:line="240" w:lineRule="auto"/>
              <w:contextualSpacing w:val="0"/>
              <w:jc w:val="right"/>
              <w:rPr>
                <w:sz w:val="18"/>
                <w:szCs w:val="20"/>
              </w:rPr>
            </w:pPr>
            <w:r>
              <w:rPr>
                <w:sz w:val="18"/>
                <w:szCs w:val="20"/>
                <w:u w:val="single"/>
              </w:rPr>
              <w:t xml:space="preserve">a)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r>
              <w:rPr>
                <w:sz w:val="18"/>
                <w:szCs w:val="20"/>
                <w:u w:val="single"/>
              </w:rPr>
              <w:t xml:space="preserve">b)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r>
              <w:rPr>
                <w:sz w:val="18"/>
                <w:szCs w:val="20"/>
                <w:u w:val="single"/>
              </w:rPr>
              <w:t xml:space="preserve">c)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r>
              <w:rPr>
                <w:sz w:val="18"/>
                <w:szCs w:val="20"/>
                <w:u w:val="single"/>
              </w:rPr>
              <w:t xml:space="preserve">d)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39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pPr>
              <w:spacing w:before="120" w:line="240" w:lineRule="auto"/>
              <w:contextualSpacing w:val="0"/>
              <w:jc w:val="center"/>
              <w:rPr>
                <w:sz w:val="18"/>
                <w:szCs w:val="20"/>
                <w:highlight w:val="yellow"/>
              </w:rPr>
            </w:pPr>
          </w:p>
        </w:tc>
      </w:tr>
      <w:tr>
        <w:tc>
          <w:tcPr>
            <w:tcW w:w="426" w:type="dxa"/>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sz w:val="18"/>
                <w:szCs w:val="20"/>
              </w:rPr>
            </w:pPr>
            <w:r>
              <w:rPr>
                <w:sz w:val="18"/>
                <w:szCs w:val="20"/>
              </w:rPr>
              <w:t>13.</w:t>
            </w:r>
          </w:p>
        </w:tc>
        <w:tc>
          <w:tcPr>
            <w:tcW w:w="7795" w:type="dxa"/>
            <w:gridSpan w:val="4"/>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b/>
                <w:bCs/>
                <w:sz w:val="18"/>
                <w:szCs w:val="20"/>
              </w:rPr>
            </w:pPr>
            <w:r>
              <w:rPr>
                <w:b/>
                <w:bCs/>
                <w:sz w:val="18"/>
                <w:szCs w:val="20"/>
              </w:rPr>
              <w:t>Gesamtpreis (netto) der Positionen Nr. 1. bis 7.</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r>
      <w:tr>
        <w:tc>
          <w:tcPr>
            <w:tcW w:w="426" w:type="dxa"/>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sz w:val="18"/>
                <w:szCs w:val="20"/>
              </w:rPr>
            </w:pPr>
            <w:r>
              <w:rPr>
                <w:sz w:val="18"/>
                <w:szCs w:val="20"/>
              </w:rPr>
              <w:t>14.</w:t>
            </w:r>
          </w:p>
        </w:tc>
        <w:tc>
          <w:tcPr>
            <w:tcW w:w="7795" w:type="dxa"/>
            <w:gridSpan w:val="4"/>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r>
              <w:rPr>
                <w:sz w:val="18"/>
                <w:szCs w:val="20"/>
              </w:rPr>
              <w:t xml:space="preserve">% </w:t>
            </w:r>
            <w:r>
              <w:rPr>
                <w:sz w:val="18"/>
                <w:szCs w:val="18"/>
              </w:rPr>
              <w:t>(Einfuhr-/) Umsatzsteuer</w:t>
            </w:r>
            <w:r>
              <w:rPr>
                <w:sz w:val="18"/>
                <w:szCs w:val="20"/>
              </w:rPr>
              <w:t xml:space="preserve"> (</w:t>
            </w:r>
            <w:proofErr w:type="spellStart"/>
            <w:r>
              <w:rPr>
                <w:sz w:val="18"/>
                <w:szCs w:val="20"/>
              </w:rPr>
              <w:t>USt</w:t>
            </w:r>
            <w:proofErr w:type="spellEnd"/>
            <w:r>
              <w:rPr>
                <w:sz w:val="18"/>
                <w:szCs w:val="2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r>
      <w:tr>
        <w:tc>
          <w:tcPr>
            <w:tcW w:w="426" w:type="dxa"/>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color w:val="000000" w:themeColor="text1"/>
                <w:sz w:val="18"/>
                <w:szCs w:val="20"/>
              </w:rPr>
            </w:pPr>
            <w:r>
              <w:rPr>
                <w:color w:val="000000" w:themeColor="text1"/>
                <w:sz w:val="18"/>
                <w:szCs w:val="20"/>
              </w:rPr>
              <w:t>15.</w:t>
            </w:r>
          </w:p>
        </w:tc>
        <w:tc>
          <w:tcPr>
            <w:tcW w:w="7795" w:type="dxa"/>
            <w:gridSpan w:val="4"/>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bCs/>
                <w:color w:val="000000" w:themeColor="text1"/>
                <w:sz w:val="18"/>
                <w:szCs w:val="20"/>
              </w:rPr>
            </w:pPr>
            <w:r>
              <w:rPr>
                <w:bCs/>
                <w:color w:val="000000" w:themeColor="text1"/>
                <w:sz w:val="18"/>
                <w:szCs w:val="20"/>
              </w:rPr>
              <w:t>Gesamtpreis (brutto) der Positionen Nr. 1. bis 7.</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jc w:val="right"/>
              <w:rPr>
                <w:b/>
                <w:color w:val="000000" w:themeColor="text1"/>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r>
    </w:tbl>
    <w:p>
      <w:pPr>
        <w:jc w:val="center"/>
        <w:rPr>
          <w:sz w:val="18"/>
          <w:szCs w:val="20"/>
        </w:rPr>
      </w:pPr>
      <w:r>
        <w:rPr>
          <w:b/>
          <w:sz w:val="18"/>
          <w:szCs w:val="20"/>
        </w:rPr>
        <w:t>Sämtliche Preise sind in Euro, gerundet auf zwei Nachkommastellen anzugeben.</w:t>
      </w:r>
    </w:p>
    <w:p>
      <w:pPr>
        <w:jc w:val="both"/>
      </w:pPr>
    </w:p>
    <w:p>
      <w:pPr>
        <w:jc w:val="both"/>
        <w:rPr>
          <w:color w:val="000000" w:themeColor="text1"/>
        </w:rPr>
      </w:pPr>
      <w:r>
        <w:t xml:space="preserve">Die angebotenen Preise gelten für eine vollständige Erbringung der im Vertrag und in den </w:t>
      </w:r>
      <w:r>
        <w:rPr>
          <w:color w:val="000000" w:themeColor="text1"/>
        </w:rPr>
        <w:t>sonstigen Dokumenten dieser Ausschreibung gestellten Anforderungen.</w:t>
      </w:r>
    </w:p>
    <w:p>
      <w:pPr>
        <w:jc w:val="both"/>
        <w:rPr>
          <w:color w:val="000000" w:themeColor="text1"/>
        </w:rPr>
      </w:pPr>
      <w:r>
        <w:rPr>
          <w:color w:val="000000" w:themeColor="text1"/>
        </w:rPr>
        <w:t>Die im Rahmen der Vertragsausführung tatsächlich erbrachten Leistungen werden nach Aufwand unter Zugrundelegung obiger Preise abgerechnet.</w:t>
      </w:r>
    </w:p>
    <w:p>
      <w:pPr>
        <w:jc w:val="both"/>
      </w:pPr>
    </w:p>
    <w:p>
      <w:pPr>
        <w:jc w:val="both"/>
      </w:pPr>
      <w:r>
        <w:t xml:space="preserve">Die Angabe des Angebotspreises erfolgt sowohl netto als auch brutto (die zu entrichtende Mehrwert- oder Einfuhrumsatzsteuer ist, unabhängig der jeweils eintretenden Steuerschuldnerschaft, durch den Bieter anzugeben) mit zwei Stellen nach dem Komma. Ab der dritten Nachkommastelle ist kaufmännisch zu runden. </w:t>
      </w:r>
      <w:r>
        <w:tab/>
      </w:r>
    </w:p>
    <w:p>
      <w:pPr>
        <w:jc w:val="both"/>
      </w:pPr>
    </w:p>
    <w:p>
      <w:pPr>
        <w:jc w:val="both"/>
      </w:pPr>
      <w:r>
        <w:t xml:space="preserve">Bei Zahlung innerhalb von </w:t>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r>
        <w:rPr>
          <w:color w:val="000000" w:themeColor="text1"/>
          <w:sz w:val="20"/>
        </w:rPr>
        <w:t xml:space="preserve"> </w:t>
      </w:r>
      <w:r>
        <w:rPr>
          <w:color w:val="000000" w:themeColor="text1"/>
        </w:rPr>
        <w:t xml:space="preserve">Werktagen nach Eingang der prüfbaren Rechnung beim Rechnungsempfänger werden </w:t>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r>
        <w:rPr>
          <w:color w:val="000000" w:themeColor="text1"/>
          <w:sz w:val="20"/>
        </w:rPr>
        <w:t xml:space="preserve"> </w:t>
      </w:r>
      <w:r>
        <w:rPr>
          <w:color w:val="000000" w:themeColor="text1"/>
        </w:rPr>
        <w:t xml:space="preserve">% </w:t>
      </w:r>
      <w:r>
        <w:t>Skonto gewährt.</w:t>
      </w:r>
    </w:p>
    <w:p>
      <w:pPr>
        <w:pStyle w:val="berschrift1"/>
      </w:pPr>
      <w:r>
        <w:t>Anlagen</w:t>
      </w:r>
    </w:p>
    <w:p>
      <w:pPr>
        <w:rPr>
          <w:b/>
          <w:i/>
        </w:rPr>
      </w:pPr>
      <w:r>
        <w:t xml:space="preserve">Dem Angebot sind folgende Anlagen </w:t>
      </w:r>
      <w:r>
        <w:rPr>
          <w:u w:val="single"/>
        </w:rPr>
        <w:t>in ausgefüllter Form</w:t>
      </w:r>
      <w:r>
        <w:t xml:space="preserve"> beigefügt:</w:t>
      </w:r>
    </w:p>
    <w:p>
      <w:pPr>
        <w:pStyle w:val="Listenabsatz"/>
        <w:numPr>
          <w:ilvl w:val="0"/>
          <w:numId w:val="13"/>
        </w:numPr>
      </w:pPr>
      <w:r>
        <w:t>R_1.2 Rahmenvereinbarung</w:t>
      </w:r>
    </w:p>
    <w:p>
      <w:pPr>
        <w:pStyle w:val="Listenabsatz"/>
        <w:numPr>
          <w:ilvl w:val="0"/>
          <w:numId w:val="13"/>
        </w:numPr>
      </w:pPr>
      <w:r>
        <w:t>R_3 Eigenerklärung Ausschluss- und Eignungskriterien</w:t>
      </w:r>
    </w:p>
    <w:p>
      <w:pPr>
        <w:pStyle w:val="Listenabsatz"/>
        <w:numPr>
          <w:ilvl w:val="0"/>
          <w:numId w:val="13"/>
        </w:numPr>
      </w:pPr>
      <w:r>
        <w:t>R_4 GE &amp; Datenschutzhinweise</w:t>
      </w:r>
    </w:p>
    <w:p>
      <w:pPr>
        <w:pStyle w:val="Listenabsatz"/>
        <w:numPr>
          <w:ilvl w:val="0"/>
          <w:numId w:val="13"/>
        </w:numPr>
      </w:pPr>
      <w:r>
        <w:t>R_5 Eigenerklärung zum Thüringer Vergabegesetz</w:t>
      </w:r>
    </w:p>
    <w:p>
      <w:pPr>
        <w:pStyle w:val="Listenabsatz"/>
        <w:numPr>
          <w:ilvl w:val="0"/>
          <w:numId w:val="13"/>
        </w:numPr>
      </w:pPr>
      <w:r>
        <w:t>R_6 Eigenerklärung Russland-Sanktionen</w:t>
      </w:r>
    </w:p>
    <w:p>
      <w:pPr>
        <w:pStyle w:val="Listenabsatz"/>
        <w:numPr>
          <w:ilvl w:val="0"/>
          <w:numId w:val="13"/>
        </w:numPr>
      </w:pPr>
      <w:r>
        <w:t>R_7 Preisliste weiteres Verpackungsmaterial</w:t>
      </w:r>
    </w:p>
    <w:p>
      <w:pPr>
        <w:pStyle w:val="Listenabsatz"/>
        <w:numPr>
          <w:ilvl w:val="0"/>
          <w:numId w:val="13"/>
        </w:numPr>
      </w:pPr>
      <w:r>
        <w:t>R_8 Auftragsdatenverarbeitung</w:t>
      </w:r>
    </w:p>
    <w:p>
      <w:pPr>
        <w:tabs>
          <w:tab w:val="left" w:pos="1774"/>
        </w:tabs>
      </w:pPr>
      <w:r>
        <w:tab/>
      </w:r>
    </w:p>
    <w:p>
      <w:r>
        <w:t>Ich / Wir halte mich / halten uns an das abgegebene Angebot für eine Dauer von 45 Tagen, beginnend ab der Angebotsfrist, gebunden.</w:t>
      </w:r>
    </w:p>
    <w:p>
      <w:pPr>
        <w:tabs>
          <w:tab w:val="left" w:pos="4962"/>
        </w:tabs>
        <w:rPr>
          <w:color w:val="000000" w:themeColor="text1"/>
        </w:rPr>
      </w:pPr>
    </w:p>
    <w:p>
      <w:pPr>
        <w:tabs>
          <w:tab w:val="left" w:pos="4962"/>
        </w:tabs>
        <w:rPr>
          <w:color w:val="000000" w:themeColor="text1"/>
        </w:rPr>
      </w:pPr>
      <w:r>
        <w:rPr>
          <w:color w:val="000000" w:themeColor="text1"/>
        </w:rPr>
        <w:fldChar w:fldCharType="begin">
          <w:ffData>
            <w:name w:val="Text1"/>
            <w:enabled/>
            <w:calcOnExit w:val="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r>
        <w:rPr>
          <w:color w:val="000000" w:themeColor="text1"/>
        </w:rPr>
        <w:tab/>
      </w:r>
      <w:r>
        <w:rPr>
          <w:color w:val="000000" w:themeColor="text1"/>
        </w:rPr>
        <w:fldChar w:fldCharType="begin">
          <w:ffData>
            <w:name w:val="Text1"/>
            <w:enabled/>
            <w:calcOnExit w:val="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p>
      <w:r>
        <w:t>______________________</w:t>
      </w:r>
      <w:r>
        <w:tab/>
      </w:r>
      <w:r>
        <w:tab/>
      </w:r>
      <w:r>
        <w:tab/>
      </w:r>
      <w:r>
        <w:tab/>
        <w:t>_________________________________</w:t>
      </w:r>
    </w:p>
    <w:p>
      <w:pPr>
        <w:jc w:val="both"/>
        <w:rPr>
          <w:szCs w:val="16"/>
        </w:rPr>
      </w:pPr>
      <w:r>
        <w:t xml:space="preserve">Ort, Datum </w:t>
      </w:r>
      <w:r>
        <w:tab/>
      </w:r>
      <w:r>
        <w:tab/>
      </w:r>
      <w:r>
        <w:tab/>
      </w:r>
      <w:r>
        <w:tab/>
      </w:r>
      <w:r>
        <w:tab/>
      </w:r>
      <w:r>
        <w:rPr>
          <w:sz w:val="32"/>
        </w:rPr>
        <w:tab/>
      </w:r>
      <w:r>
        <w:rPr>
          <w:szCs w:val="16"/>
        </w:rPr>
        <w:t>Name des Erklärenden des Bieters*</w:t>
      </w:r>
    </w:p>
    <w:p/>
    <w:p/>
    <w:p>
      <w:r>
        <w:rPr>
          <w:i/>
          <w:sz w:val="18"/>
        </w:rPr>
        <w:t>*Die Textform gem. § 126 b S. 1 BGB kann durch sowohl Schriftform gem. § 126 I BGB als auch elektronische Form gem. § 126 a I BGB ersetzt werden. Dem Bieter kommt hierbei ein Wahlrecht zu.</w:t>
      </w:r>
    </w:p>
    <w:p/>
    <w:p>
      <w:pPr>
        <w:tabs>
          <w:tab w:val="left" w:pos="1878"/>
        </w:tabs>
      </w:pPr>
      <w:r>
        <w:tab/>
      </w:r>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p>
  <w:p>
    <w:pPr>
      <w:rPr>
        <w:sz w:val="16"/>
        <w:lang w:eastAsia="de-DE"/>
      </w:rPr>
    </w:pPr>
    <w:r>
      <w:rPr>
        <w:sz w:val="16"/>
        <w:lang w:eastAsia="de-DE"/>
      </w:rPr>
      <w:t>R 2.2 Angebot; Version 1 vom 03.03.2026</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9</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9</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Funotentext"/>
        <w:rPr>
          <w:sz w:val="18"/>
          <w:szCs w:val="18"/>
        </w:rPr>
      </w:pPr>
      <w:r>
        <w:rPr>
          <w:rStyle w:val="Funotenzeichen"/>
          <w:sz w:val="16"/>
          <w:szCs w:val="18"/>
        </w:rPr>
        <w:footnoteRef/>
      </w:r>
      <w:r>
        <w:rPr>
          <w:sz w:val="16"/>
          <w:szCs w:val="18"/>
        </w:rPr>
        <w:t xml:space="preserve"> Die Schmutzzulage entsteht bei einer Räumung einer Messie-Wohnung mit einer hohen Räumungsgutmenge und/oder außergewöhnlich verschmutztem Mietereigentum bzw. Wohnungsmobiliar. Die Einschätzung, ob es sich um eine Messie-Wohnung </w:t>
      </w:r>
      <w:r>
        <w:rPr>
          <w:i/>
          <w:sz w:val="16"/>
          <w:szCs w:val="18"/>
          <w:u w:val="single"/>
        </w:rPr>
        <w:t>und/oder außergewöhnlich verschmutztes Mietereigentum bzw. Wohnungsmobiliar</w:t>
      </w:r>
      <w:r>
        <w:rPr>
          <w:sz w:val="16"/>
          <w:szCs w:val="18"/>
        </w:rPr>
        <w:t xml:space="preserve"> handelt, treffen AG und AN vor Ort und dokumentieren 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 xml:space="preserve">Zentrale Vergabestelle des Thüringer Oberlandesgerichts – Az.: 5400 E </w:t>
    </w:r>
    <w:proofErr w:type="spellStart"/>
    <w:r>
      <w:rPr>
        <w:sz w:val="16"/>
      </w:rPr>
      <w:t>Verg</w:t>
    </w:r>
    <w:proofErr w:type="spellEnd"/>
    <w:r>
      <w:rPr>
        <w:sz w:val="16"/>
      </w:rPr>
      <w:t xml:space="preserve">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C0C"/>
    <w:multiLevelType w:val="hybridMultilevel"/>
    <w:tmpl w:val="7DDAB9A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DA3760"/>
    <w:multiLevelType w:val="hybridMultilevel"/>
    <w:tmpl w:val="67C8CB44"/>
    <w:lvl w:ilvl="0" w:tplc="994A24EA">
      <w:start w:val="1"/>
      <w:numFmt w:val="upperLetter"/>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DD595A"/>
    <w:multiLevelType w:val="hybridMultilevel"/>
    <w:tmpl w:val="9D568846"/>
    <w:lvl w:ilvl="0" w:tplc="8D325FF4">
      <w:start w:val="1"/>
      <w:numFmt w:val="decimal"/>
      <w:pStyle w:val="berschrift3"/>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BD5169"/>
    <w:multiLevelType w:val="multilevel"/>
    <w:tmpl w:val="41BA0836"/>
    <w:lvl w:ilvl="0">
      <w:start w:val="1"/>
      <w:numFmt w:val="upperLetter"/>
      <w:pStyle w:val="berschrift1"/>
      <w:lvlText w:val="%1."/>
      <w:lvlJc w:val="righ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AE5B5F"/>
    <w:multiLevelType w:val="hybridMultilevel"/>
    <w:tmpl w:val="4F888F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0F32CB"/>
    <w:multiLevelType w:val="hybridMultilevel"/>
    <w:tmpl w:val="C8D8A33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1D7F0D"/>
    <w:multiLevelType w:val="hybridMultilevel"/>
    <w:tmpl w:val="E2F6A2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374C4E"/>
    <w:multiLevelType w:val="hybridMultilevel"/>
    <w:tmpl w:val="8782E802"/>
    <w:lvl w:ilvl="0" w:tplc="466E49AE">
      <w:start w:val="1"/>
      <w:numFmt w:val="upperRoman"/>
      <w:pStyle w:val="berschrift2"/>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D1F1360"/>
    <w:multiLevelType w:val="hybridMultilevel"/>
    <w:tmpl w:val="181C65F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FF34EFC"/>
    <w:multiLevelType w:val="hybridMultilevel"/>
    <w:tmpl w:val="CCD21AC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6"/>
  </w:num>
  <w:num w:numId="5">
    <w:abstractNumId w:val="7"/>
    <w:lvlOverride w:ilvl="0">
      <w:startOverride w:val="1"/>
    </w:lvlOverride>
  </w:num>
  <w:num w:numId="6">
    <w:abstractNumId w:val="2"/>
  </w:num>
  <w:num w:numId="7">
    <w:abstractNumId w:val="7"/>
  </w:num>
  <w:num w:numId="8">
    <w:abstractNumId w:val="7"/>
    <w:lvlOverride w:ilvl="0">
      <w:startOverride w:val="1"/>
    </w:lvlOverride>
  </w:num>
  <w:num w:numId="9">
    <w:abstractNumId w:val="8"/>
  </w:num>
  <w:num w:numId="10">
    <w:abstractNumId w:val="5"/>
  </w:num>
  <w:num w:numId="11">
    <w:abstractNumId w:val="4"/>
  </w:num>
  <w:num w:numId="12">
    <w:abstractNumId w:val="9"/>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spinCount="100000" w:hashValue="2nEQR/ZMukbhgcA+d9zxCv7y7X1wWonFAmRJta7YWaxGRTjgN6b24ENYd/QSCdfscBL9lNtaRsi0gRJb9ckE+g==" w:saltValue="bEzhWq6iU5saVCwXdn3KLw=="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45E83FB-99FB-42EC-A1A8-6AB9D99B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2"/>
      </w:numPr>
      <w:overflowPunct w:val="0"/>
      <w:autoSpaceDE w:val="0"/>
      <w:autoSpaceDN w:val="0"/>
      <w:adjustRightInd w:val="0"/>
      <w:spacing w:before="240" w:after="0"/>
      <w:textAlignment w:val="baseline"/>
      <w:outlineLvl w:val="0"/>
    </w:pPr>
    <w:rPr>
      <w:rFonts w:eastAsiaTheme="majorEastAsia"/>
      <w:b/>
      <w:color w:val="000000" w:themeColor="text1"/>
      <w:szCs w:val="32"/>
      <w:u w:val="single"/>
      <w:lang w:eastAsia="de-DE"/>
    </w:rPr>
  </w:style>
  <w:style w:type="paragraph" w:styleId="berschrift2">
    <w:name w:val="heading 2"/>
    <w:basedOn w:val="Standard"/>
    <w:next w:val="Standard"/>
    <w:link w:val="berschrift2Zchn"/>
    <w:uiPriority w:val="9"/>
    <w:unhideWhenUsed/>
    <w:qFormat/>
    <w:pPr>
      <w:keepNext/>
      <w:keepLines/>
      <w:numPr>
        <w:numId w:val="7"/>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6"/>
      </w:numPr>
      <w:spacing w:before="40" w:after="0"/>
      <w:outlineLvl w:val="2"/>
    </w:pPr>
    <w:rPr>
      <w:rFonts w:eastAsiaTheme="majorEastAsia"/>
      <w:b/>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u w:val="single"/>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uiPriority w:val="10"/>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uiPriority w:val="10"/>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rPr>
      <w:rFonts w:ascii="Arial" w:eastAsia="Times New Roman" w:hAnsi="Arial" w:cs="Times New Roman"/>
      <w:lang w:eastAsia="de-DE"/>
    </w:rPr>
  </w:style>
  <w:style w:type="paragraph" w:styleId="Listenabsatz">
    <w:name w:val="List Paragraph"/>
    <w:basedOn w:val="Standard"/>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b/>
      <w:color w:val="000000" w:themeColor="text1"/>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qFormat/>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Pr>
      <w:vertAlign w:val="superscript"/>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8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2041</Words>
  <Characters>12862</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Reise, Isabelle</cp:lastModifiedBy>
  <cp:revision>20</cp:revision>
  <dcterms:created xsi:type="dcterms:W3CDTF">2026-01-09T11:52:00Z</dcterms:created>
  <dcterms:modified xsi:type="dcterms:W3CDTF">2026-03-02T13:43:00Z</dcterms:modified>
</cp:coreProperties>
</file>