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
      <w:pPr>
        <w:pStyle w:val="Titel"/>
        <w:spacing w:line="360" w:lineRule="auto"/>
        <w:rPr>
          <w:rFonts w:ascii="Arial" w:hAnsi="Arial"/>
        </w:rPr>
      </w:pPr>
      <w:r>
        <w:rPr>
          <w:rFonts w:ascii="Arial" w:hAnsi="Arial"/>
        </w:rPr>
        <w:t xml:space="preserve">Rahmenvereinbarung </w:t>
      </w:r>
    </w:p>
    <w:p>
      <w:pPr>
        <w:jc w:val="center"/>
      </w:pPr>
      <w:r>
        <w:t>für den Amtsgerichtsbezirk Suhl</w:t>
      </w:r>
    </w:p>
    <w:p>
      <w:pPr>
        <w:jc w:val="center"/>
      </w:pPr>
    </w:p>
    <w:p>
      <w:pPr>
        <w:jc w:val="center"/>
      </w:pPr>
      <w:r>
        <w:t xml:space="preserve">Speditionsdienstleistungen (einschließlich Räumung, Abtransport, Einlagerung und Vernichtung) im Rahmen von Räumungsvollstreckungen </w:t>
      </w:r>
    </w:p>
    <w:p>
      <w:pPr>
        <w:jc w:val="center"/>
      </w:pPr>
    </w:p>
    <w:p>
      <w:pPr>
        <w:jc w:val="center"/>
      </w:pPr>
    </w:p>
    <w:p>
      <w:pPr>
        <w:jc w:val="center"/>
      </w:pPr>
    </w:p>
    <w:p>
      <w:pPr>
        <w:spacing w:after="0"/>
        <w:contextualSpacing w:val="0"/>
        <w:jc w:val="both"/>
        <w:rPr>
          <w:rFonts w:eastAsia="Times New Roman"/>
          <w:lang w:eastAsia="de-DE"/>
        </w:rPr>
      </w:pPr>
      <w:r>
        <w:rPr>
          <w:rFonts w:eastAsia="Times New Roman"/>
          <w:lang w:eastAsia="de-DE"/>
        </w:rPr>
        <w:t>zwischen</w:t>
      </w: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r>
        <w:rPr>
          <w:rFonts w:eastAsia="Times New Roman"/>
          <w:lang w:eastAsia="de-DE"/>
        </w:rPr>
        <w:t>dem Freistaat Thüringen, endvertreten durch den Präsidenten des Thüringer Oberlandesgerichts, Rathenaustraße 13, D – 07745 Jena</w:t>
      </w:r>
    </w:p>
    <w:p>
      <w:pPr>
        <w:spacing w:after="0"/>
        <w:contextualSpacing w:val="0"/>
        <w:jc w:val="both"/>
        <w:rPr>
          <w:rFonts w:eastAsia="Times New Roman"/>
          <w:lang w:eastAsia="de-DE"/>
        </w:rPr>
      </w:pPr>
    </w:p>
    <w:p>
      <w:pPr>
        <w:spacing w:after="0"/>
        <w:contextualSpacing w:val="0"/>
        <w:jc w:val="right"/>
        <w:rPr>
          <w:rFonts w:eastAsia="Times New Roman"/>
          <w:lang w:eastAsia="de-DE"/>
        </w:rPr>
      </w:pPr>
      <w:r>
        <w:rPr>
          <w:rFonts w:eastAsia="Times New Roman"/>
          <w:lang w:eastAsia="de-DE"/>
        </w:rPr>
        <w:t xml:space="preserve">─ im Folgenden „Auftraggeber“ ─ </w:t>
      </w: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r>
        <w:rPr>
          <w:rFonts w:eastAsia="Times New Roman"/>
          <w:lang w:eastAsia="de-DE"/>
        </w:rPr>
        <w:t>und</w:t>
      </w:r>
    </w:p>
    <w:p>
      <w:pPr>
        <w:spacing w:after="0"/>
        <w:contextualSpacing w:val="0"/>
        <w:jc w:val="both"/>
        <w:rPr>
          <w:rFonts w:eastAsia="Times New Roman"/>
          <w:lang w:eastAsia="de-DE"/>
        </w:rPr>
      </w:pPr>
    </w:p>
    <w:p>
      <w:pPr>
        <w:spacing w:after="0"/>
        <w:contextualSpacing w:val="0"/>
        <w:rPr>
          <w:rFonts w:eastAsia="Times New Roman"/>
          <w:b/>
          <w:lang w:eastAsia="de-DE"/>
        </w:rPr>
      </w:pP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r>
        <w:rPr>
          <w:rFonts w:eastAsia="Times New Roman"/>
          <w:b/>
          <w:color w:val="000000" w:themeColor="text1"/>
          <w:u w:val="single"/>
          <w:lang w:eastAsia="de-DE"/>
        </w:rPr>
        <w:t xml:space="preserve"> </w:t>
      </w:r>
    </w:p>
    <w:p>
      <w:pPr>
        <w:spacing w:after="0"/>
        <w:contextualSpacing w:val="0"/>
        <w:rPr>
          <w:rFonts w:eastAsia="Times New Roman"/>
          <w:b/>
          <w:lang w:eastAsia="de-DE"/>
        </w:rPr>
      </w:pPr>
    </w:p>
    <w:p>
      <w:pPr>
        <w:spacing w:after="0"/>
        <w:contextualSpacing w:val="0"/>
        <w:jc w:val="right"/>
        <w:rPr>
          <w:rFonts w:eastAsia="Times New Roman"/>
          <w:lang w:eastAsia="de-DE"/>
        </w:rPr>
      </w:pPr>
      <w:r>
        <w:rPr>
          <w:rFonts w:eastAsia="Times New Roman"/>
          <w:lang w:eastAsia="de-DE"/>
        </w:rPr>
        <w:t>─ im Folgenden „Auftragnehmer“ ─</w:t>
      </w:r>
    </w:p>
    <w:p>
      <w:pPr>
        <w:spacing w:after="0"/>
        <w:contextualSpacing w:val="0"/>
        <w:rPr>
          <w:rFonts w:eastAsia="Times New Roman"/>
          <w:b/>
          <w:lang w:eastAsia="de-DE"/>
        </w:rPr>
      </w:pPr>
    </w:p>
    <w:p>
      <w:pPr>
        <w:spacing w:after="0"/>
        <w:contextualSpacing w:val="0"/>
        <w:rPr>
          <w:rFonts w:eastAsia="Times New Roman"/>
          <w:lang w:eastAsia="de-DE"/>
        </w:rPr>
      </w:pPr>
    </w:p>
    <w:p>
      <w:pPr>
        <w:spacing w:after="0"/>
        <w:contextualSpacing w:val="0"/>
        <w:jc w:val="both"/>
        <w:rPr>
          <w:rFonts w:eastAsia="Times New Roman"/>
          <w:b/>
          <w:lang w:eastAsia="de-DE"/>
        </w:rPr>
      </w:pPr>
    </w:p>
    <w:p>
      <w:pPr>
        <w:spacing w:after="0"/>
        <w:contextualSpacing w:val="0"/>
        <w:jc w:val="both"/>
        <w:rPr>
          <w:rFonts w:eastAsia="Times New Roman"/>
          <w:b/>
          <w:lang w:eastAsia="de-DE"/>
        </w:rPr>
      </w:pPr>
    </w:p>
    <w:p>
      <w:pPr>
        <w:spacing w:after="0" w:line="240" w:lineRule="auto"/>
        <w:contextualSpacing w:val="0"/>
        <w:rPr>
          <w:rFonts w:eastAsia="Times New Roman"/>
          <w:b/>
          <w:lang w:eastAsia="de-DE"/>
        </w:rPr>
      </w:pPr>
      <w:r>
        <w:rPr>
          <w:rFonts w:eastAsia="Times New Roman"/>
          <w:lang w:eastAsia="de-DE"/>
        </w:rPr>
        <w:br w:type="page"/>
      </w:r>
    </w:p>
    <w:p>
      <w:pPr>
        <w:numPr>
          <w:ilvl w:val="1"/>
          <w:numId w:val="0"/>
        </w:numPr>
        <w:spacing w:before="120" w:after="160" w:line="240" w:lineRule="auto"/>
        <w:contextualSpacing w:val="0"/>
        <w:jc w:val="center"/>
        <w:rPr>
          <w:rFonts w:eastAsiaTheme="minorEastAsia"/>
          <w:b/>
          <w:spacing w:val="15"/>
          <w:lang w:eastAsia="de-DE"/>
        </w:rPr>
      </w:pPr>
      <w:r>
        <w:rPr>
          <w:rFonts w:eastAsiaTheme="minorEastAsia"/>
          <w:b/>
          <w:spacing w:val="15"/>
          <w:lang w:eastAsia="de-DE"/>
        </w:rPr>
        <w:lastRenderedPageBreak/>
        <w:t>Präambel</w:t>
      </w:r>
    </w:p>
    <w:p>
      <w:pPr>
        <w:autoSpaceDE w:val="0"/>
        <w:autoSpaceDN w:val="0"/>
        <w:adjustRightInd w:val="0"/>
        <w:spacing w:after="0"/>
        <w:contextualSpacing w:val="0"/>
        <w:jc w:val="both"/>
      </w:pPr>
      <w:r>
        <w:rPr>
          <w:rFonts w:eastAsia="Times New Roman"/>
          <w:bCs/>
          <w:lang w:eastAsia="de-DE"/>
        </w:rPr>
        <w:t xml:space="preserve">Bei dem Auftraggeber besteht ein Bedarf an </w:t>
      </w:r>
      <w:r>
        <w:t>Speditionsleistungen (</w:t>
      </w:r>
      <w:r>
        <w:rPr>
          <w:bCs/>
        </w:rPr>
        <w:t>einschließlich Räumung, Abtransport, Einlagerung und Vernichtung) im Auftrag der Gerichtsvollzieher des Freistaats Thüringen.</w:t>
      </w:r>
      <w:r>
        <w:rPr>
          <w:rFonts w:eastAsia="Times New Roman"/>
          <w:bCs/>
          <w:lang w:eastAsia="de-DE"/>
        </w:rPr>
        <w:t xml:space="preserve"> Die </w:t>
      </w:r>
      <w:r>
        <w:rPr>
          <w:rFonts w:eastAsia="Times New Roman" w:cs="Times New Roman"/>
          <w:szCs w:val="20"/>
          <w:lang w:eastAsia="de-DE"/>
        </w:rPr>
        <w:t>Speditions</w:t>
      </w:r>
      <w:r>
        <w:rPr>
          <w:rFonts w:eastAsia="Times New Roman"/>
          <w:bCs/>
          <w:lang w:eastAsia="de-DE"/>
        </w:rPr>
        <w:t xml:space="preserve">dienstleistungen werden jedoch aufgrund der Unvorhersehbarkeit </w:t>
      </w:r>
      <w:r>
        <w:rPr>
          <w:rFonts w:eastAsia="Times New Roman" w:cs="Times New Roman"/>
          <w:szCs w:val="20"/>
          <w:lang w:eastAsia="de-DE"/>
        </w:rPr>
        <w:t xml:space="preserve">der durchzuführenden Räumungsvollstreckungen </w:t>
      </w:r>
      <w:r>
        <w:rPr>
          <w:rFonts w:eastAsia="Times New Roman"/>
          <w:bCs/>
          <w:lang w:eastAsia="de-DE"/>
        </w:rPr>
        <w:t>nicht zu einem bestimmten Zeitpunkt, sondern nach kurzfristig zu bestimmendem Bedarf benötigt. Deshalb wurde eine Rahmenvereinbarung mit einem Vertragspartner ausgeschrieben. Der Auftragnehmer hat das wirtschaftlichste Angebot in diesem Vergabeverfahren abgegeben. Vor diesem Hintergrund wird die vorliegende Rahmenvereinbarung geschlossen, die die wesentlichen Rahmenbedingungen und allgemeinen Regelungen der Zusammenarbeit zwischen den Parteien enthält.</w:t>
      </w:r>
    </w:p>
    <w:p>
      <w:pPr>
        <w:pStyle w:val="berschrift1"/>
        <w:rPr>
          <w:rFonts w:eastAsia="Times New Roman"/>
        </w:rPr>
      </w:pPr>
      <w:r>
        <w:rPr>
          <w:rFonts w:eastAsia="Times New Roman"/>
        </w:rPr>
        <w:t>Gegenstand der Rahmenvereinbarung</w:t>
      </w:r>
    </w:p>
    <w:p>
      <w:pPr>
        <w:numPr>
          <w:ilvl w:val="0"/>
          <w:numId w:val="23"/>
        </w:numPr>
        <w:spacing w:before="120"/>
        <w:ind w:left="426" w:hanging="426"/>
        <w:contextualSpacing w:val="0"/>
        <w:jc w:val="both"/>
        <w:rPr>
          <w:rFonts w:eastAsia="Times New Roman" w:cs="Times New Roman"/>
          <w:szCs w:val="20"/>
          <w:lang w:eastAsia="de-DE"/>
        </w:rPr>
      </w:pPr>
      <w:r>
        <w:rPr>
          <w:rFonts w:eastAsia="Times New Roman" w:cs="Times New Roman"/>
          <w:szCs w:val="20"/>
          <w:lang w:eastAsia="de-DE"/>
        </w:rPr>
        <w:t xml:space="preserve">Gegenstand dieser Rahmenvereinbarung </w:t>
      </w:r>
      <w:r>
        <w:t>sind Speditionsleistungen (</w:t>
      </w:r>
      <w:r>
        <w:rPr>
          <w:bCs/>
        </w:rPr>
        <w:t>einschließlich Räumung, Abtransport, Einlagerung und Vernichtung) im Auftrag der Gerichtsvollzieher des Freistaats Thüringen</w:t>
      </w:r>
      <w:r>
        <w:t xml:space="preserve">. </w:t>
      </w:r>
    </w:p>
    <w:p>
      <w:pPr>
        <w:numPr>
          <w:ilvl w:val="0"/>
          <w:numId w:val="23"/>
        </w:numPr>
        <w:spacing w:before="120"/>
        <w:ind w:left="426" w:hanging="426"/>
        <w:contextualSpacing w:val="0"/>
        <w:jc w:val="both"/>
        <w:rPr>
          <w:rFonts w:eastAsia="Times New Roman" w:cs="Times New Roman"/>
          <w:szCs w:val="20"/>
          <w:lang w:eastAsia="de-DE"/>
        </w:rPr>
      </w:pPr>
      <w:r>
        <w:rPr>
          <w:rFonts w:eastAsia="Times New Roman"/>
          <w:lang w:eastAsia="de-DE"/>
        </w:rPr>
        <w:t>Diese Rahmenvereinbarung betrifft</w:t>
      </w:r>
      <w:r>
        <w:rPr>
          <w:rFonts w:eastAsia="Times New Roman" w:cs="Times New Roman"/>
          <w:szCs w:val="20"/>
          <w:lang w:eastAsia="de-DE"/>
        </w:rPr>
        <w:t xml:space="preserve"> </w:t>
      </w:r>
      <w:r>
        <w:rPr>
          <w:rFonts w:eastAsia="Times New Roman" w:cs="Times New Roman"/>
          <w:color w:val="000000" w:themeColor="text1"/>
          <w:szCs w:val="20"/>
          <w:lang w:eastAsia="de-DE"/>
        </w:rPr>
        <w:t xml:space="preserve">den Amtsgerichtsbezirk </w:t>
      </w:r>
      <w:r>
        <w:t>Suhl</w:t>
      </w:r>
      <w:r>
        <w:rPr>
          <w:rFonts w:eastAsia="Times New Roman" w:cs="Times New Roman"/>
          <w:color w:val="000000" w:themeColor="text1"/>
          <w:szCs w:val="20"/>
          <w:lang w:eastAsia="de-DE"/>
        </w:rPr>
        <w:t xml:space="preserve">. Der Leistungsumfang mitsamt den entsprechenden Leistungsorten ergibt sich aus den Anlagen </w:t>
      </w:r>
      <w:r>
        <w:rPr>
          <w:rFonts w:eastAsia="Times New Roman" w:cs="Times New Roman"/>
          <w:b/>
          <w:i/>
          <w:color w:val="000000" w:themeColor="text1"/>
          <w:szCs w:val="20"/>
          <w:lang w:eastAsia="de-DE"/>
        </w:rPr>
        <w:t>A_4_Vertrag</w:t>
      </w:r>
      <w:r>
        <w:rPr>
          <w:rFonts w:eastAsia="Times New Roman" w:cs="Times New Roman"/>
          <w:color w:val="000000" w:themeColor="text1"/>
          <w:szCs w:val="20"/>
          <w:lang w:eastAsia="de-DE"/>
        </w:rPr>
        <w:t xml:space="preserve"> sowie </w:t>
      </w:r>
      <w:r>
        <w:rPr>
          <w:rFonts w:eastAsia="Times New Roman" w:cs="Times New Roman"/>
          <w:b/>
          <w:i/>
          <w:color w:val="000000" w:themeColor="text1"/>
          <w:szCs w:val="20"/>
          <w:lang w:eastAsia="de-DE"/>
        </w:rPr>
        <w:t>R_2.22 Angebot.</w:t>
      </w:r>
    </w:p>
    <w:p>
      <w:pPr>
        <w:numPr>
          <w:ilvl w:val="0"/>
          <w:numId w:val="23"/>
        </w:numPr>
        <w:spacing w:before="120"/>
        <w:ind w:left="426" w:hanging="426"/>
        <w:contextualSpacing w:val="0"/>
        <w:jc w:val="both"/>
        <w:rPr>
          <w:lang w:eastAsia="de-DE"/>
        </w:rPr>
      </w:pPr>
      <w:r>
        <w:rPr>
          <w:rFonts w:eastAsia="Times New Roman" w:cs="Times New Roman"/>
          <w:szCs w:val="20"/>
          <w:lang w:eastAsia="de-DE"/>
        </w:rPr>
        <w:t xml:space="preserve">Die Rahmenvereinbarung ist als Ein-Partner-Rahmenvereinbarung ausgestaltet. </w:t>
      </w:r>
    </w:p>
    <w:p>
      <w:pPr>
        <w:pStyle w:val="berschrift1"/>
      </w:pPr>
      <w:r>
        <w:t>Dauer der Rahmenvereinbarung</w:t>
      </w:r>
    </w:p>
    <w:p>
      <w:pPr>
        <w:pStyle w:val="Listenabsatz"/>
        <w:numPr>
          <w:ilvl w:val="0"/>
          <w:numId w:val="24"/>
        </w:numPr>
        <w:spacing w:before="120"/>
        <w:ind w:left="426" w:hanging="437"/>
        <w:contextualSpacing w:val="0"/>
        <w:jc w:val="both"/>
      </w:pPr>
      <w:r>
        <w:t xml:space="preserve">Die Rahmenvereinbarung beginnt am 01.07.2026 und endet am 30.06.2027. </w:t>
      </w:r>
    </w:p>
    <w:p>
      <w:pPr>
        <w:pStyle w:val="Listenabsatz"/>
        <w:numPr>
          <w:ilvl w:val="0"/>
          <w:numId w:val="24"/>
        </w:numPr>
        <w:spacing w:before="120"/>
        <w:ind w:left="426" w:hanging="437"/>
        <w:contextualSpacing w:val="0"/>
        <w:jc w:val="both"/>
      </w:pPr>
      <w:r>
        <w:t xml:space="preserve">Die Rahmenvereinbarung verlängert sich um jeweils 12 Monate, bis zum 30.06.2028 bzw. 30.06.2029 bzw. 30.06.2030, </w:t>
      </w:r>
      <w:r>
        <w:rPr>
          <w:color w:val="000000" w:themeColor="text1"/>
        </w:rPr>
        <w:t>soweit nicht mindestens drei Monate vor Ablauf des Vertrages durch den Auftraggeber gekündigt</w:t>
      </w:r>
      <w:r>
        <w:t xml:space="preserve"> wird. </w:t>
      </w:r>
      <w:r>
        <w:rPr>
          <w:color w:val="000000" w:themeColor="text1"/>
        </w:rPr>
        <w:t>Die Kündigung muss dem Auftragnehmer somit spätestens zum 31.03.2027 bzw. 31.03.2028 bzw. 31.03.2029 zugehen.</w:t>
      </w:r>
    </w:p>
    <w:p>
      <w:pPr>
        <w:pStyle w:val="Listenabsatz"/>
        <w:numPr>
          <w:ilvl w:val="0"/>
          <w:numId w:val="24"/>
        </w:numPr>
        <w:spacing w:before="120"/>
        <w:ind w:left="426" w:hanging="426"/>
        <w:jc w:val="both"/>
      </w:pPr>
      <w:r>
        <w:t>Der Auftraggeber ist berechtigt, bis zum letzten Tag der Vertragslaufzeit Leistungen abzurufen, auch sofern die Ausführung der Leistungen hierdurch gegebenenfalls erst nach Ablauf der vorgenannten Laufzeit geschieht bzw. vonstattengehen muss.</w:t>
      </w:r>
    </w:p>
    <w:p>
      <w:pPr>
        <w:spacing w:after="160" w:line="259" w:lineRule="auto"/>
        <w:contextualSpacing w:val="0"/>
      </w:pPr>
    </w:p>
    <w:p>
      <w:pPr>
        <w:pStyle w:val="berschrift1"/>
      </w:pPr>
      <w:r>
        <w:lastRenderedPageBreak/>
        <w:t>Abnahmemenge</w:t>
      </w:r>
    </w:p>
    <w:p>
      <w:pPr>
        <w:pStyle w:val="Listenabsatz"/>
        <w:numPr>
          <w:ilvl w:val="0"/>
          <w:numId w:val="25"/>
        </w:numPr>
        <w:spacing w:before="120"/>
        <w:ind w:left="426" w:hanging="426"/>
        <w:contextualSpacing w:val="0"/>
        <w:jc w:val="both"/>
        <w:rPr>
          <w:color w:val="000000" w:themeColor="text1"/>
        </w:rPr>
      </w:pPr>
      <w:r>
        <w:t xml:space="preserve">Der Auftragnehmer hat keinen Anspruch auf ein bestimmtes Mindestauftragsvolumen. </w:t>
      </w:r>
      <w:r>
        <w:rPr>
          <w:color w:val="000000" w:themeColor="text1"/>
        </w:rPr>
        <w:t xml:space="preserve">Die voraussichtliche Abnahmemenge sowie die Höchstabnahmemenge für jeweils 48 Monate ergibt sich aus der Anlage </w:t>
      </w:r>
      <w:r>
        <w:rPr>
          <w:rFonts w:eastAsia="Times New Roman" w:cs="Times New Roman"/>
          <w:b/>
          <w:i/>
          <w:color w:val="000000" w:themeColor="text1"/>
          <w:szCs w:val="20"/>
          <w:lang w:eastAsia="de-DE"/>
        </w:rPr>
        <w:t>A_6_Los- und Mengenverzeichnis</w:t>
      </w:r>
      <w:r>
        <w:rPr>
          <w:color w:val="000000" w:themeColor="text1"/>
        </w:rPr>
        <w:t xml:space="preserve">. </w:t>
      </w:r>
    </w:p>
    <w:p>
      <w:pPr>
        <w:pStyle w:val="Listenabsatz"/>
        <w:numPr>
          <w:ilvl w:val="0"/>
          <w:numId w:val="25"/>
        </w:numPr>
        <w:spacing w:before="120"/>
        <w:ind w:left="426" w:hanging="426"/>
        <w:contextualSpacing w:val="0"/>
        <w:jc w:val="both"/>
        <w:rPr>
          <w:rFonts w:cs="Times New Roman"/>
          <w:szCs w:val="20"/>
        </w:rPr>
      </w:pPr>
      <w:r>
        <w:rPr>
          <w:color w:val="000000" w:themeColor="text1"/>
        </w:rPr>
        <w:t xml:space="preserve">Die Rahmenvereinbarung ist auf die in der Anlage </w:t>
      </w:r>
      <w:r>
        <w:rPr>
          <w:rFonts w:eastAsia="Times New Roman" w:cs="Times New Roman"/>
          <w:b/>
          <w:i/>
          <w:color w:val="000000" w:themeColor="text1"/>
          <w:szCs w:val="20"/>
          <w:lang w:eastAsia="de-DE"/>
        </w:rPr>
        <w:t>A_6_Los- und Mengenverzeichnis</w:t>
      </w:r>
      <w:r>
        <w:rPr>
          <w:color w:val="000000" w:themeColor="text1"/>
        </w:rPr>
        <w:t xml:space="preserve"> aufgeführte Höchstabnahmemenge des betreffenden Loses beschränkt. Mit </w:t>
      </w:r>
      <w:r>
        <w:t>Ausschöpfen der Höchstabnahmemenge endet die Rahmenvereinbarung, selbst wenn das zeitliche Ende noch nicht erreicht wäre. Hierfür hat der Auftragnehmer dem Auftraggeber anzuzeigen, sobald 75 Prozent der gesamten Höchstabnahmemenge ausgeschöpft sind.</w:t>
      </w:r>
    </w:p>
    <w:p>
      <w:pPr>
        <w:numPr>
          <w:ilvl w:val="0"/>
          <w:numId w:val="25"/>
        </w:numPr>
        <w:spacing w:before="120"/>
        <w:ind w:left="426" w:hanging="426"/>
        <w:contextualSpacing w:val="0"/>
        <w:jc w:val="both"/>
        <w:rPr>
          <w:rFonts w:cs="Times New Roman"/>
          <w:szCs w:val="20"/>
        </w:rPr>
      </w:pPr>
      <w:r>
        <w:t xml:space="preserve">Die Ausführung der Leistung ist von dem Auftragnehmer innerhalb der Vertragslaufzeit weder in zeitlicher noch in quantitativer (bis zu den in Abs. 2 genannten Höchstabnahmemengen) Hinsicht begrenzt. </w:t>
      </w:r>
    </w:p>
    <w:p>
      <w:pPr>
        <w:pStyle w:val="Listenabsatz"/>
        <w:numPr>
          <w:ilvl w:val="0"/>
          <w:numId w:val="25"/>
        </w:numPr>
        <w:spacing w:before="120"/>
        <w:ind w:left="426" w:hanging="426"/>
        <w:contextualSpacing w:val="0"/>
        <w:jc w:val="both"/>
      </w:pPr>
      <w:r>
        <w:t>Änderungen des Mengengerüsts gem. Absatz 1 könnten sich für den Fall einer organisatorischen Umstrukturierung der Dienststellen sowie Gesetzesänderungen ergeben, weswegen die Parteien vereinbaren, dass obiges Mengengerüst sowie die aktuellen Gesetzesgrundlagen als Geschäftsgrundlage gem. § 313 I BGB gelten.</w:t>
      </w:r>
    </w:p>
    <w:p>
      <w:pPr>
        <w:pStyle w:val="berschrift1"/>
      </w:pPr>
      <w:r>
        <w:t>Hauptleistungspflichten</w:t>
      </w:r>
    </w:p>
    <w:p>
      <w:pPr>
        <w:pStyle w:val="Listenabsatz"/>
        <w:numPr>
          <w:ilvl w:val="0"/>
          <w:numId w:val="20"/>
        </w:numPr>
        <w:ind w:left="426" w:hanging="426"/>
        <w:jc w:val="both"/>
      </w:pPr>
      <w:r>
        <w:t xml:space="preserve">Die zu erbringende Leistung ergibt sich aus der </w:t>
      </w:r>
      <w:r>
        <w:rPr>
          <w:bCs/>
        </w:rPr>
        <w:t>Anlage</w:t>
      </w:r>
      <w:r>
        <w:rPr>
          <w:b/>
        </w:rPr>
        <w:t xml:space="preserve"> </w:t>
      </w:r>
      <w:r>
        <w:rPr>
          <w:b/>
          <w:i/>
          <w:iCs/>
        </w:rPr>
        <w:t>R_2.22 Angebot, lit. B I</w:t>
      </w:r>
      <w:r>
        <w:t>.</w:t>
      </w:r>
    </w:p>
    <w:p>
      <w:pPr>
        <w:pStyle w:val="Listenabsatz"/>
        <w:numPr>
          <w:ilvl w:val="0"/>
          <w:numId w:val="20"/>
        </w:numPr>
        <w:ind w:left="426" w:hanging="426"/>
        <w:jc w:val="both"/>
      </w:pPr>
      <w:r>
        <w:t>Es werden insbesondere folgende Hauptleistungspflichten vereinbart:</w:t>
      </w:r>
    </w:p>
    <w:p>
      <w:pPr>
        <w:pStyle w:val="Listenabsatz"/>
        <w:numPr>
          <w:ilvl w:val="0"/>
          <w:numId w:val="35"/>
        </w:numPr>
        <w:spacing w:before="120"/>
        <w:jc w:val="both"/>
      </w:pPr>
      <w:bookmarkStart w:id="0" w:name="_Toc64531646"/>
      <w:bookmarkStart w:id="1" w:name="_Toc89071746"/>
      <w:r>
        <w:t>Räumung von beweglichen Gegenständen und Sachen</w:t>
      </w:r>
      <w:bookmarkEnd w:id="0"/>
      <w:bookmarkEnd w:id="1"/>
    </w:p>
    <w:p>
      <w:pPr>
        <w:pStyle w:val="Listenabsatz"/>
        <w:numPr>
          <w:ilvl w:val="1"/>
          <w:numId w:val="38"/>
        </w:numPr>
        <w:suppressAutoHyphens/>
        <w:spacing w:after="0"/>
        <w:jc w:val="both"/>
      </w:pPr>
      <w:r>
        <w:t xml:space="preserve">Geräumt werden nach entsprechendem Zwangsvollstreckungsauftrag Räume (z.B. Wohnungen, Büros, Lager), Grundstücke und Gartengrundstücke von beweglichen Gegenständen und Sachen (z.B. Möbel, Müll, Unrat, Autos, Sperrgut, Sondermüll/Gefahrenstoffe). Der Gerichtsvollzieher beauftragt den Auftragnehmer mit der Räumung. Diese wird zeitnah, grundsätzlich aber spätestens 6 Wochen nach Auftragserteilung </w:t>
      </w:r>
      <w:r>
        <w:rPr>
          <w:color w:val="000000" w:themeColor="text1"/>
        </w:rPr>
        <w:t xml:space="preserve">durchgeführt. Die Räumung soll grundsätzlich innerhalb eines Tages abgeschlossen sein. Räumungen, die nicht innerhalb eines Tages abgeschlossen werden können, können durch den Auftragnehmer nur zusätzlich abgerechnet werden, sofern der Auftragnehmer die Verzögerungen nicht zu vertreten hat. Der Auftragnehmer </w:t>
      </w:r>
      <w:r>
        <w:t>muss von Montag bis Freitag in der Zeit von 8 bis 16 Uhr durchgehend erreichbar sein.</w:t>
      </w:r>
    </w:p>
    <w:p>
      <w:pPr>
        <w:pStyle w:val="Listenabsatz"/>
        <w:numPr>
          <w:ilvl w:val="1"/>
          <w:numId w:val="38"/>
        </w:numPr>
        <w:suppressAutoHyphens/>
        <w:spacing w:after="0"/>
        <w:jc w:val="both"/>
      </w:pPr>
      <w:r>
        <w:t xml:space="preserve">Der Auftragnehmer dokumentiert jeden Auftrag sowie die Leistungserbringung nach Zeit, Datum, Umfang (insbesondere </w:t>
      </w:r>
      <w:r>
        <w:rPr>
          <w:color w:val="000000" w:themeColor="text1"/>
        </w:rPr>
        <w:t>Mengenangaben zum verwendeten Verpackungsmaterial, Anzahl der LKWs, Menge des Entsorgungsgutes)</w:t>
      </w:r>
      <w:r>
        <w:t xml:space="preserve">, Anzahl der Arbeitskräfte und Dauer. </w:t>
      </w:r>
    </w:p>
    <w:p>
      <w:pPr>
        <w:pStyle w:val="Listenabsatz"/>
        <w:numPr>
          <w:ilvl w:val="1"/>
          <w:numId w:val="38"/>
        </w:numPr>
        <w:suppressAutoHyphens/>
        <w:spacing w:after="0"/>
        <w:jc w:val="both"/>
      </w:pPr>
      <w:r>
        <w:lastRenderedPageBreak/>
        <w:t>Bei der Räumung erstellt der Auftragnehmer auf Verlangen ein Verzeichnis des Räumungs- und Pfandgutes und händigt dieses dem Gerichtsvollzieher aus. Beschädigungen an dem Räumungs- und Pfandgut sind dem Gerichtsvollzieher umgehend anzuzeigen und zu dokumentieren.</w:t>
      </w:r>
    </w:p>
    <w:p>
      <w:pPr>
        <w:pStyle w:val="Listenabsatz"/>
        <w:numPr>
          <w:ilvl w:val="1"/>
          <w:numId w:val="38"/>
        </w:numPr>
        <w:suppressAutoHyphens/>
        <w:spacing w:after="0"/>
        <w:jc w:val="both"/>
      </w:pPr>
      <w:r>
        <w:t xml:space="preserve">Das Objekt wird unter Bereitstellung aller hierfür erforderlichen Arbeits- und Hilfsmittel besenrein beräumt. Einzulagerndes Pfand- oder Räumungsgut wird sorgfältig verpackt. Dabei hat der Auftragnehmer grundsätzlich im Sinne der Kostenminimierung abzuwägen, welches Verpackungsmaterial eingesetzt wird. Möbel werden nach Bedarf zerlegt und wieder aufgebaut. Verpackungsbehältnisse werden von dem Auftragnehmer zur Verfügung gestellt. </w:t>
      </w:r>
      <w:bookmarkStart w:id="2" w:name="_Toc64531648"/>
      <w:bookmarkEnd w:id="2"/>
    </w:p>
    <w:p>
      <w:pPr>
        <w:pStyle w:val="Listenabsatz"/>
        <w:numPr>
          <w:ilvl w:val="1"/>
          <w:numId w:val="38"/>
        </w:numPr>
        <w:suppressAutoHyphens/>
        <w:spacing w:after="0"/>
        <w:jc w:val="both"/>
      </w:pPr>
      <w:r>
        <w:t>Der Auftragnehmer hat für die erforderlichen Einrichtungen von Halteverbotszonen und Ausnahmegenehmigungen gem. § 46 Abs. 1 Nr. 8 StVO für Inanspruchnahme öffentlichen Verkehrsgrund (§ 45 StVO) zur verkehrsrechtlichen Anordnung gem. § 45 Abs. 6 StVO nach vorheriger Rücksprache mit dem Gerichtsvollzieher Sorge zu tragen. Kosten sind von dem Auftragnehmer im Vorfeld zu verauslagen.</w:t>
      </w:r>
    </w:p>
    <w:p>
      <w:pPr>
        <w:pStyle w:val="Listenabsatz"/>
        <w:numPr>
          <w:ilvl w:val="0"/>
          <w:numId w:val="35"/>
        </w:numPr>
        <w:suppressAutoHyphens/>
        <w:spacing w:after="0"/>
        <w:jc w:val="both"/>
      </w:pPr>
      <w:bookmarkStart w:id="3" w:name="_Toc64531649"/>
      <w:bookmarkStart w:id="4" w:name="_Toc89071747"/>
      <w:r>
        <w:t>Aufladung und Abtransport, Entsorgung</w:t>
      </w:r>
      <w:bookmarkEnd w:id="3"/>
      <w:bookmarkEnd w:id="4"/>
    </w:p>
    <w:p>
      <w:pPr>
        <w:pStyle w:val="Listenabsatz"/>
        <w:numPr>
          <w:ilvl w:val="0"/>
          <w:numId w:val="40"/>
        </w:numPr>
        <w:suppressAutoHyphens/>
        <w:spacing w:after="0"/>
        <w:jc w:val="both"/>
      </w:pPr>
      <w:r>
        <w:t>Das Räumungsgut ist - sofern nicht der Zwangsvollstreckungsschuldner oder -gläubiger hierfür selbst Sorge tragen – aufzuladen, abzutransportieren und ggf. zu entsorgen</w:t>
      </w:r>
    </w:p>
    <w:p>
      <w:pPr>
        <w:pStyle w:val="Listenabsatz"/>
        <w:numPr>
          <w:ilvl w:val="0"/>
          <w:numId w:val="40"/>
        </w:numPr>
        <w:suppressAutoHyphens/>
        <w:spacing w:after="0"/>
        <w:jc w:val="both"/>
      </w:pPr>
      <w:r>
        <w:t>Sperr- und Sondermüll ist entsprechend der gesetzlichen Vorschriften zu entsorgen. Eventuelle Kosten hierfür sind vorzuschießen. Die Entsorgung persönlicher Unterlagen des Schuldners ist unter Einhaltung der DSGVO und weiterer gesetzlicher Regelungen vorzunehmen. Der Entsorgungsnachweis ist zu erbringen. Die entsprechenden Kostenrechnungen und Wiegescheine der Entsorgungen sind vorzulegen.</w:t>
      </w:r>
    </w:p>
    <w:p>
      <w:pPr>
        <w:pStyle w:val="Listenabsatz"/>
        <w:numPr>
          <w:ilvl w:val="0"/>
          <w:numId w:val="35"/>
        </w:numPr>
        <w:suppressAutoHyphens/>
        <w:spacing w:after="0"/>
        <w:jc w:val="both"/>
      </w:pPr>
      <w:bookmarkStart w:id="5" w:name="_Toc64531650"/>
      <w:bookmarkStart w:id="6" w:name="_Toc89071748"/>
      <w:r>
        <w:t>Einlagerung von Räumungsgut</w:t>
      </w:r>
      <w:bookmarkEnd w:id="5"/>
      <w:bookmarkEnd w:id="6"/>
    </w:p>
    <w:p>
      <w:pPr>
        <w:pStyle w:val="Listenabsatz"/>
        <w:numPr>
          <w:ilvl w:val="0"/>
          <w:numId w:val="41"/>
        </w:numPr>
        <w:suppressAutoHyphens/>
        <w:spacing w:after="0"/>
        <w:jc w:val="both"/>
      </w:pPr>
      <w:r>
        <w:t>Die Einlagerung erfolgt in einem Lager in dem Amtsgerichtsbezirk Suhl. Die nachträgliche Änderung des Einlagerungsortes an eine Anschrift außerhalb des Amtsgerichtsbezirks ist nicht zulässig.</w:t>
      </w:r>
    </w:p>
    <w:p>
      <w:pPr>
        <w:pStyle w:val="Listenabsatz"/>
        <w:numPr>
          <w:ilvl w:val="0"/>
          <w:numId w:val="41"/>
        </w:numPr>
        <w:suppressAutoHyphens/>
        <w:spacing w:after="0"/>
        <w:jc w:val="both"/>
      </w:pPr>
      <w:r>
        <w:t>Das Lager befindet sich nicht in Sicherheitsbereichen und ist ohne erhöhte Sicherheitskontrolle für den Schuldner, ggf. dessen Bevollmächtigte und den Gerichtsvollzieher zugänglich.</w:t>
      </w:r>
    </w:p>
    <w:p>
      <w:pPr>
        <w:pStyle w:val="Listenabsatz"/>
        <w:numPr>
          <w:ilvl w:val="0"/>
          <w:numId w:val="41"/>
        </w:numPr>
        <w:suppressAutoHyphens/>
        <w:spacing w:after="0"/>
        <w:jc w:val="both"/>
      </w:pPr>
      <w:r>
        <w:t xml:space="preserve">Sofern erforderlich muss das Räumungsgut in einem hierfür geeigneten Lager im entsprechenden Amtsgerichtsbezirk gem. § 885 Abs. 3 und 4 ZPO über </w:t>
      </w:r>
      <w:r>
        <w:lastRenderedPageBreak/>
        <w:t>einen Zeitraum von bis zu drei Monaten aufbewahrt werden können. Ein Versicherungsschutz für das Räumungsgut muss bestehen.</w:t>
      </w:r>
    </w:p>
    <w:p>
      <w:pPr>
        <w:pStyle w:val="Listenabsatz"/>
        <w:numPr>
          <w:ilvl w:val="0"/>
          <w:numId w:val="41"/>
        </w:numPr>
        <w:suppressAutoHyphens/>
        <w:spacing w:after="0"/>
        <w:jc w:val="both"/>
      </w:pPr>
      <w:r>
        <w:t>Der Auftragnehmer muss die Fortführung der Aufbewahrung der eingelagerten Güter bis zu zwei Monate über den unter c) geforderten Zeitraum hinaus garantieren.</w:t>
      </w:r>
    </w:p>
    <w:p>
      <w:pPr>
        <w:pStyle w:val="Listenabsatz"/>
        <w:numPr>
          <w:ilvl w:val="0"/>
          <w:numId w:val="41"/>
        </w:numPr>
        <w:suppressAutoHyphens/>
        <w:spacing w:after="0"/>
        <w:jc w:val="both"/>
      </w:pPr>
      <w:r>
        <w:t xml:space="preserve">Die Einlagerung hat auf die einzelnen Aufträge der Gerichtsvollzieher bezogen räumlich getrennt zu erfolgen, so dass ein unberechtigter Zugriff durch Dritte ausgeschlossen ist. </w:t>
      </w:r>
    </w:p>
    <w:p>
      <w:pPr>
        <w:pStyle w:val="Listenabsatz"/>
        <w:numPr>
          <w:ilvl w:val="0"/>
          <w:numId w:val="41"/>
        </w:numPr>
        <w:suppressAutoHyphens/>
        <w:spacing w:after="0"/>
        <w:jc w:val="both"/>
      </w:pPr>
      <w:r>
        <w:t xml:space="preserve">Das Lager muss nach vorheriger Anmeldung zu den üblichen Geschäftszeiten Montag bis Freitag bis 18.00 Uhr besetzt werden. </w:t>
      </w:r>
    </w:p>
    <w:p>
      <w:pPr>
        <w:pStyle w:val="Listenabsatz"/>
        <w:numPr>
          <w:ilvl w:val="0"/>
          <w:numId w:val="41"/>
        </w:numPr>
        <w:suppressAutoHyphens/>
        <w:spacing w:after="0"/>
        <w:jc w:val="both"/>
      </w:pPr>
      <w:r>
        <w:t>Der Auftragnehmer muss eine Rufbereitschaft bei laufenden Räumungen einrichten.</w:t>
      </w:r>
    </w:p>
    <w:p>
      <w:pPr>
        <w:pStyle w:val="Listenabsatz"/>
        <w:numPr>
          <w:ilvl w:val="0"/>
          <w:numId w:val="35"/>
        </w:numPr>
        <w:spacing w:before="120"/>
        <w:jc w:val="both"/>
      </w:pPr>
      <w:bookmarkStart w:id="7" w:name="_Toc64531651"/>
      <w:bookmarkStart w:id="8" w:name="_Toc89071749"/>
      <w:r>
        <w:t>Versteigerung</w:t>
      </w:r>
      <w:bookmarkEnd w:id="7"/>
      <w:bookmarkEnd w:id="8"/>
      <w:r>
        <w:t xml:space="preserve"> </w:t>
      </w:r>
    </w:p>
    <w:p>
      <w:pPr>
        <w:pStyle w:val="Listenabsatz"/>
        <w:numPr>
          <w:ilvl w:val="0"/>
          <w:numId w:val="44"/>
        </w:numPr>
        <w:suppressAutoHyphens/>
        <w:spacing w:after="0"/>
        <w:jc w:val="both"/>
      </w:pPr>
      <w:r>
        <w:t xml:space="preserve">Der Auftragnehmer stellt ausreichend Räumlichkeiten für die Zwangsversteigerung zur Verfügung. Alle zur Versteigerung kommenden Gegenstände werden durch ihn ordnungsgemäß und übersichtlich aufgebaut. Eine Bereitstellung eventuell erforderlicher Mitarbeiter wird gewährleistet. </w:t>
      </w:r>
    </w:p>
    <w:p>
      <w:pPr>
        <w:pStyle w:val="Listenabsatz"/>
        <w:numPr>
          <w:ilvl w:val="0"/>
          <w:numId w:val="44"/>
        </w:numPr>
        <w:suppressAutoHyphens/>
        <w:spacing w:after="0"/>
        <w:jc w:val="both"/>
      </w:pPr>
      <w:r>
        <w:t>Der Versteigerungsort ist ohne weitere Zutrittskontrollen für potentielle Bieter zugänglich. Insbesondere findet keine Ausweiskontrolle statt.</w:t>
      </w:r>
    </w:p>
    <w:p>
      <w:pPr>
        <w:pStyle w:val="Listenabsatz"/>
        <w:numPr>
          <w:ilvl w:val="0"/>
          <w:numId w:val="44"/>
        </w:numPr>
        <w:suppressAutoHyphens/>
        <w:spacing w:after="0"/>
        <w:jc w:val="both"/>
      </w:pPr>
      <w:r>
        <w:t>Sofern die Versteigerung nicht in Räumlichkeiten, die durch den Auftragnehmer zur Verfügung gestellt werden, erfolgt, gewährleistet der Auftragnehmer den Transport der Gegenstände zu dem vom Gerichtsvollzieher benannten Ort der Versteigerung.</w:t>
      </w:r>
    </w:p>
    <w:p>
      <w:pPr>
        <w:pStyle w:val="Listenabsatz"/>
        <w:numPr>
          <w:ilvl w:val="0"/>
          <w:numId w:val="20"/>
        </w:numPr>
        <w:ind w:left="426" w:hanging="426"/>
        <w:jc w:val="both"/>
      </w:pPr>
      <w:r>
        <w:t>Für die erbrachte Arbeitsleistung zahlt der Auftragnehmer seinen Beschäftigten ein Mindeststundenentgelt gem. § 6 Abs. 4 ThürVgG. Der Auftraggeber kann vom Auftragnehmer in Fällen begründeten Verdachts, dass der Auftragnehmer diese Pflicht nicht einhält, Auskunft und Nachweise darüber verlangen, ob und in welcher Weise die Verpflichtung eingehalten wird.</w:t>
      </w:r>
    </w:p>
    <w:p>
      <w:pPr>
        <w:spacing w:after="160" w:line="259" w:lineRule="auto"/>
        <w:contextualSpacing w:val="0"/>
      </w:pPr>
      <w:r>
        <w:br w:type="page"/>
      </w:r>
    </w:p>
    <w:p>
      <w:pPr>
        <w:pStyle w:val="berschrift1"/>
        <w:jc w:val="both"/>
      </w:pPr>
      <w:r>
        <w:lastRenderedPageBreak/>
        <w:t>Nebenleistungspflichten</w:t>
      </w:r>
    </w:p>
    <w:p>
      <w:pPr>
        <w:pStyle w:val="Listenabsatz"/>
        <w:numPr>
          <w:ilvl w:val="0"/>
          <w:numId w:val="21"/>
        </w:numPr>
        <w:ind w:left="426" w:hanging="426"/>
        <w:jc w:val="both"/>
        <w:rPr>
          <w:lang w:eastAsia="de-DE"/>
        </w:rPr>
      </w:pPr>
      <w:r>
        <w:t xml:space="preserve">Datenschutzmaßnahmen: </w:t>
      </w:r>
    </w:p>
    <w:p>
      <w:pPr>
        <w:pStyle w:val="Listenabsatz"/>
        <w:ind w:left="426"/>
        <w:jc w:val="both"/>
        <w:rPr>
          <w:lang w:eastAsia="de-DE"/>
        </w:rPr>
      </w:pPr>
      <w:r>
        <w:rPr>
          <w:rStyle w:val="Buchtitel"/>
          <w:b w:val="0"/>
          <w:i w:val="0"/>
          <w:lang w:eastAsia="de-DE"/>
        </w:rPr>
        <w:t>Maßnahmen</w:t>
      </w:r>
      <w:r>
        <w:rPr>
          <w:b/>
          <w:i/>
          <w:lang w:eastAsia="de-DE"/>
        </w:rPr>
        <w:t xml:space="preserve"> </w:t>
      </w:r>
      <w:r>
        <w:rPr>
          <w:lang w:eastAsia="de-DE"/>
        </w:rPr>
        <w:t xml:space="preserve">zum Datenschutz ergeben sich aus den </w:t>
      </w:r>
      <w:r>
        <w:t xml:space="preserve">Anlagen </w:t>
      </w:r>
      <w:r>
        <w:rPr>
          <w:b/>
          <w:i/>
        </w:rPr>
        <w:t xml:space="preserve">R_4 GE &amp; Datenschutzhinweise </w:t>
      </w:r>
      <w:r>
        <w:t>sowie</w:t>
      </w:r>
      <w:r>
        <w:rPr>
          <w:b/>
          <w:i/>
        </w:rPr>
        <w:t xml:space="preserve"> R_8 Auftragsdatenverarbeitung</w:t>
      </w:r>
      <w:r>
        <w:rPr>
          <w:b/>
          <w:i/>
          <w:lang w:eastAsia="de-DE"/>
        </w:rPr>
        <w:t>.</w:t>
      </w:r>
      <w:r>
        <w:rPr>
          <w:lang w:eastAsia="de-DE"/>
        </w:rPr>
        <w:t xml:space="preserve"> </w:t>
      </w:r>
      <w:r>
        <w:t>Der Auftragnehmer verpflichtet sich, alle Mitarbeiter über die Bedeutung und den Inhalt von Datenschutzregelungen zu belehren und sie auf deren Einhaltung hinzuweisen.</w:t>
      </w:r>
    </w:p>
    <w:p>
      <w:pPr>
        <w:pStyle w:val="Listenabsatz"/>
        <w:numPr>
          <w:ilvl w:val="0"/>
          <w:numId w:val="21"/>
        </w:numPr>
        <w:ind w:left="426" w:hanging="426"/>
        <w:jc w:val="both"/>
        <w:rPr>
          <w:lang w:eastAsia="de-DE"/>
        </w:rPr>
      </w:pPr>
      <w:r>
        <w:t xml:space="preserve">Qualitätssicherung: </w:t>
      </w:r>
    </w:p>
    <w:p>
      <w:pPr>
        <w:pStyle w:val="Listenabsatz"/>
        <w:ind w:left="426"/>
        <w:jc w:val="both"/>
        <w:rPr>
          <w:lang w:eastAsia="de-DE"/>
        </w:rPr>
      </w:pPr>
      <w:r>
        <w:rPr>
          <w:lang w:eastAsia="de-DE"/>
        </w:rPr>
        <w:t>Die Ausführung der Leistung erfolgt mit zuverlässigem und fachlich qualifiziertem Personal. Der Auftragnehmer ergreift Maßnahmen zum Qualitätsmanagement. Er dokumentiert Mängel in der Auftragsdurchführung, soweit es sich nicht um Alltagsversehen handelt. Auf Anforderung erhält der Auftraggeber einen Abdruck dieser Dokumentation. Die Leistungserbringung muss den anerkannten Regeln der Technik entsprechen und im Einklang mit den Festlegungen der Berufsgenossenschaften und des Datenschutzes stehen.</w:t>
      </w:r>
    </w:p>
    <w:p>
      <w:pPr>
        <w:pStyle w:val="Listenabsatz"/>
        <w:numPr>
          <w:ilvl w:val="0"/>
          <w:numId w:val="21"/>
        </w:numPr>
        <w:ind w:left="426" w:hanging="426"/>
        <w:jc w:val="both"/>
      </w:pPr>
      <w:r>
        <w:t xml:space="preserve">Sozial- und Umweltengagement: </w:t>
      </w:r>
    </w:p>
    <w:p>
      <w:pPr>
        <w:pStyle w:val="Listenabsatz"/>
        <w:ind w:left="426"/>
        <w:jc w:val="both"/>
      </w:pPr>
      <w:r>
        <w:rPr>
          <w:lang w:eastAsia="de-DE"/>
        </w:rPr>
        <w:t>Der Auftragnehmer gewährleistet, dass die Vertragsleistung umweltverträglich und nicht in einem das normale Krankheitsrisiko berufstätiger Menschen übersteigenden Maß gesundheitsschädigend erbracht wird.</w:t>
      </w:r>
      <w:r>
        <w:t xml:space="preserve"> </w:t>
      </w:r>
    </w:p>
    <w:p>
      <w:pPr>
        <w:pStyle w:val="Listenabsatz"/>
        <w:numPr>
          <w:ilvl w:val="0"/>
          <w:numId w:val="21"/>
        </w:numPr>
        <w:ind w:left="426" w:hanging="426"/>
        <w:jc w:val="both"/>
      </w:pPr>
      <w:r>
        <w:t>Die für die Erfüllung der Aufträge erforderlichen Geräte, Maschinen und Fahrzeuge werden von dem Auftragnehmer gestellt. Der Bedarf ist vor Auftragsbeginn zu ermitteln. Maschinen, Geräte und Fahrzeuge müssen alle erforderlichen Prüfungen hinsichtlich Betriebssicherheit haben und den geltenden Unfallverhütungsvorschriften entsprechen.</w:t>
      </w:r>
    </w:p>
    <w:p>
      <w:pPr>
        <w:pStyle w:val="Listenabsatz"/>
        <w:numPr>
          <w:ilvl w:val="0"/>
          <w:numId w:val="21"/>
        </w:numPr>
        <w:ind w:left="426" w:hanging="426"/>
        <w:jc w:val="both"/>
        <w:rPr>
          <w:lang w:eastAsia="de-DE"/>
        </w:rPr>
      </w:pPr>
      <w:r>
        <w:t>Der Auftragnehmer sichert ein der Dienstleistung entsprechendes politisch neutrales äußeres Erscheinungsbild seiner Mitarbeiter zu. Diese Zusicherung erstreckt sich auch auf die genutzten Transportmittel (Kraftfahrzeuge und ggf. Anhänger), die der Mitarbeiter zur Auftragserfüllung nutzt.</w:t>
      </w:r>
    </w:p>
    <w:p>
      <w:pPr>
        <w:pStyle w:val="Listenabsatz"/>
        <w:numPr>
          <w:ilvl w:val="0"/>
          <w:numId w:val="21"/>
        </w:numPr>
        <w:ind w:left="426" w:hanging="426"/>
        <w:jc w:val="both"/>
      </w:pPr>
      <w:r>
        <w:t>Für Nachunternehmer des Auftragnehmers</w:t>
      </w:r>
      <w:r>
        <w:rPr>
          <w:i/>
          <w:iCs/>
        </w:rPr>
        <w:t xml:space="preserve"> </w:t>
      </w:r>
      <w:r>
        <w:t>gelten die vorgenannten Bestimmungen entsprechend. Der Aufragnehmer ist verpflichtet, in den Verträgen mit den Nachunternehmern diesen die Einhaltung der Vorschriften der Absätze 1-5 aufzuerlegen. Für die Beauftragung von Nachauftragnehmern durch Unterauftragnehmer gelten die Bestimmungen entsprechend.</w:t>
      </w:r>
    </w:p>
    <w:p>
      <w:pPr>
        <w:pStyle w:val="berschrift1"/>
      </w:pPr>
      <w:r>
        <w:t>Abruf von Einzelleistungen</w:t>
      </w:r>
    </w:p>
    <w:p>
      <w:pPr>
        <w:numPr>
          <w:ilvl w:val="0"/>
          <w:numId w:val="27"/>
        </w:numPr>
        <w:tabs>
          <w:tab w:val="left" w:pos="1296"/>
        </w:tabs>
        <w:ind w:left="426" w:hanging="426"/>
        <w:jc w:val="both"/>
        <w:rPr>
          <w:lang w:eastAsia="de-DE"/>
        </w:rPr>
      </w:pPr>
      <w:r>
        <w:rPr>
          <w:lang w:eastAsia="de-DE"/>
        </w:rPr>
        <w:t xml:space="preserve">Der Auftraggeber wird dem Auftragnehmer den Leistungsabruf spätestens 3 Wochen vor Durchführung der Räumungsdienstleistung schriftlich oder elektronisch mitteilen. Die Abrufe erfolgen dezentral durch die jeweiligen Gerichtsvollzieher. Der Abruf der </w:t>
      </w:r>
      <w:r>
        <w:rPr>
          <w:lang w:eastAsia="de-DE"/>
        </w:rPr>
        <w:lastRenderedPageBreak/>
        <w:t xml:space="preserve">Einzelleistungen erfolgt durch die jeweiligen im Vertrag </w:t>
      </w:r>
      <w:r>
        <w:rPr>
          <w:b/>
          <w:i/>
          <w:lang w:eastAsia="de-DE"/>
        </w:rPr>
        <w:t>(A_4_Vertrag)</w:t>
      </w:r>
      <w:r>
        <w:rPr>
          <w:lang w:eastAsia="de-DE"/>
        </w:rPr>
        <w:t xml:space="preserve"> genannten Dienstleistungen, nebst Mitteilung von Leistungsort und -zeit. </w:t>
      </w:r>
    </w:p>
    <w:p>
      <w:pPr>
        <w:numPr>
          <w:ilvl w:val="0"/>
          <w:numId w:val="27"/>
        </w:numPr>
        <w:tabs>
          <w:tab w:val="left" w:pos="1296"/>
        </w:tabs>
        <w:ind w:left="426" w:hanging="426"/>
        <w:jc w:val="both"/>
        <w:rPr>
          <w:lang w:eastAsia="de-DE"/>
        </w:rPr>
      </w:pPr>
      <w:r>
        <w:rPr>
          <w:lang w:eastAsia="de-DE"/>
        </w:rPr>
        <w:t>Der Auftragnehmer hat den Eingang eines Abrufs schriftlich und unverzüglich gegenüber dem Gerichtsvollzieher zu bestätigen. Sieht sich der Auftragnehmer nicht in der Lage, die Leistungen zum geforderten Termin zu erbringen, so hat er dies dem Auftraggeber unverzüglich schriftlich anzuzeigen und die Gründe hierfür zu nennen.</w:t>
      </w:r>
    </w:p>
    <w:p>
      <w:pPr>
        <w:pStyle w:val="berschrift1"/>
      </w:pPr>
      <w:r>
        <w:t>Nachunternehmer</w:t>
      </w:r>
    </w:p>
    <w:p>
      <w:pPr>
        <w:numPr>
          <w:ilvl w:val="0"/>
          <w:numId w:val="19"/>
        </w:numPr>
        <w:tabs>
          <w:tab w:val="clear" w:pos="360"/>
          <w:tab w:val="left" w:pos="1296"/>
        </w:tabs>
        <w:ind w:left="426" w:hanging="426"/>
        <w:jc w:val="both"/>
        <w:rPr>
          <w:lang w:eastAsia="de-DE"/>
        </w:rPr>
      </w:pPr>
      <w:r>
        <w:rPr>
          <w:lang w:eastAsia="de-DE"/>
        </w:rPr>
        <w:t xml:space="preserve">Der Auftragnehmer kann Nachunternehmer einsetzen. Er hat dazu die von dem Auftraggeber geforderten Auskünfte und Nachweise vorzulegen. Das Personal von Nachunternehmern muss auf dem übernommenen Aufgabengebiet mindestens das Maß an Leistungsfähigkeit, Eignung sowie Fachkunde innehaben wie das Personal des Auftragnehmers. Durch die Beauftragung eines Nachunternehmers darf sich die Zustellung nicht verzögern. </w:t>
      </w:r>
    </w:p>
    <w:p>
      <w:pPr>
        <w:numPr>
          <w:ilvl w:val="0"/>
          <w:numId w:val="19"/>
        </w:numPr>
        <w:tabs>
          <w:tab w:val="clear" w:pos="360"/>
          <w:tab w:val="num" w:pos="426"/>
          <w:tab w:val="left" w:pos="1296"/>
        </w:tabs>
        <w:ind w:left="426" w:hanging="426"/>
        <w:jc w:val="both"/>
        <w:rPr>
          <w:lang w:eastAsia="de-DE"/>
        </w:rPr>
      </w:pPr>
      <w:r>
        <w:rPr>
          <w:lang w:eastAsia="de-DE"/>
        </w:rPr>
        <w:t xml:space="preserve">Hinsichtlich der weiter bestehenden Pflichten wird auf die Anlage </w:t>
      </w:r>
      <w:r>
        <w:rPr>
          <w:b/>
          <w:i/>
          <w:lang w:eastAsia="de-DE"/>
        </w:rPr>
        <w:t>R_5</w:t>
      </w:r>
      <w:r>
        <w:rPr>
          <w:lang w:eastAsia="de-DE"/>
        </w:rPr>
        <w:t xml:space="preserve"> </w:t>
      </w:r>
      <w:r>
        <w:rPr>
          <w:b/>
          <w:i/>
          <w:lang w:eastAsia="de-DE"/>
        </w:rPr>
        <w:t>Eigenerklärung zum Thüringer Vergabegesetz</w:t>
      </w:r>
      <w:r>
        <w:rPr>
          <w:b/>
          <w:lang w:eastAsia="de-DE"/>
        </w:rPr>
        <w:t xml:space="preserve"> </w:t>
      </w:r>
      <w:r>
        <w:rPr>
          <w:lang w:eastAsia="de-DE"/>
        </w:rPr>
        <w:t>verwiesen.</w:t>
      </w:r>
    </w:p>
    <w:p>
      <w:pPr>
        <w:numPr>
          <w:ilvl w:val="0"/>
          <w:numId w:val="19"/>
        </w:numPr>
        <w:tabs>
          <w:tab w:val="clear" w:pos="360"/>
          <w:tab w:val="num" w:pos="426"/>
          <w:tab w:val="left" w:pos="1296"/>
        </w:tabs>
        <w:ind w:left="426" w:hanging="426"/>
        <w:jc w:val="both"/>
        <w:rPr>
          <w:lang w:eastAsia="de-DE"/>
        </w:rPr>
      </w:pPr>
      <w:r>
        <w:rPr>
          <w:lang w:eastAsia="de-DE"/>
        </w:rPr>
        <w:t xml:space="preserve">Im Falle eines nachträglichen Nachunternehmereinsatzes oder des Wechsels eines Nachunternehmers ist der Auftraggeber hiervon unter Angabe der Gründe mindestens 14 Tage vor dem Wechsel bzw. dem Neueinsatz zu unterrichten und um Zustimmung zu ersuchen. </w:t>
      </w:r>
    </w:p>
    <w:p>
      <w:pPr>
        <w:numPr>
          <w:ilvl w:val="0"/>
          <w:numId w:val="19"/>
        </w:numPr>
        <w:tabs>
          <w:tab w:val="clear" w:pos="360"/>
          <w:tab w:val="num" w:pos="426"/>
          <w:tab w:val="left" w:pos="1296"/>
        </w:tabs>
        <w:ind w:left="426" w:hanging="426"/>
        <w:jc w:val="both"/>
        <w:rPr>
          <w:lang w:eastAsia="de-DE"/>
        </w:rPr>
      </w:pPr>
      <w:r>
        <w:rPr>
          <w:lang w:eastAsia="de-DE"/>
        </w:rPr>
        <w:t xml:space="preserve">Nachunternehmeraufträge dürfen nur erteilt werden, wenn der Nachunternehmer nachweist, dass er eine Haftpflichtversicherung (§ 19 des Vertrages) abgeschlossen hat. </w:t>
      </w:r>
    </w:p>
    <w:p>
      <w:pPr>
        <w:pStyle w:val="berschrift1"/>
      </w:pPr>
      <w:r>
        <w:t>Leistungsstörungen</w:t>
      </w:r>
    </w:p>
    <w:p>
      <w:pPr>
        <w:pStyle w:val="Listenabsatz"/>
        <w:numPr>
          <w:ilvl w:val="0"/>
          <w:numId w:val="11"/>
        </w:numPr>
        <w:ind w:left="426" w:hanging="426"/>
        <w:jc w:val="both"/>
      </w:pPr>
      <w:r>
        <w:t>Anfragen des öffentlichen Auftraggebers oder einer ihm nachgeordneten Dienststelle die Vertragsdurchführung betreffend, hat der Auftragnehmer binnen zehn Werktagen zu beantworten.</w:t>
      </w:r>
    </w:p>
    <w:p>
      <w:pPr>
        <w:pStyle w:val="Listenabsatz"/>
        <w:numPr>
          <w:ilvl w:val="0"/>
          <w:numId w:val="11"/>
        </w:numPr>
        <w:spacing w:after="0"/>
        <w:ind w:left="426" w:hanging="426"/>
        <w:jc w:val="both"/>
        <w:rPr>
          <w:lang w:eastAsia="de-DE"/>
        </w:rPr>
      </w:pPr>
      <w:r>
        <w:t>Begeht der Auftragnehmer wiederholt einfache Pflichtverletzungen oder erstmals einen schwerwiegenden Verstoß gegen seine vertraglichen Verpflichtungen, kann der Auftraggeber in Abhängigkeit von Art, Schwere und Häufigkeit der Pflichtverletzung, diesen abmahnen, Vertragsstrafen geltend machen oder außerordentlich kündigen.</w:t>
      </w:r>
    </w:p>
    <w:p>
      <w:pPr>
        <w:pStyle w:val="berschrift1"/>
      </w:pPr>
      <w:r>
        <w:t>Abmahnung</w:t>
      </w:r>
    </w:p>
    <w:p>
      <w:pPr>
        <w:pStyle w:val="Listenabsatz"/>
        <w:numPr>
          <w:ilvl w:val="0"/>
          <w:numId w:val="12"/>
        </w:numPr>
        <w:spacing w:after="0"/>
        <w:ind w:left="426" w:hanging="426"/>
        <w:jc w:val="both"/>
      </w:pPr>
      <w:r>
        <w:t>Der Auftraggeber kann den Auftragnehmer schriftlich aufgrund wiederholter einfacher Pflichtverletzungen oder eines schwerwiegenden Verstoßes gegen seine vertraglichen Verpflichtungen abmahnen.</w:t>
      </w:r>
    </w:p>
    <w:p>
      <w:pPr>
        <w:pStyle w:val="Listenabsatz"/>
        <w:numPr>
          <w:ilvl w:val="0"/>
          <w:numId w:val="12"/>
        </w:numPr>
        <w:spacing w:after="0"/>
        <w:ind w:left="426" w:hanging="426"/>
        <w:jc w:val="both"/>
      </w:pPr>
      <w:r>
        <w:t xml:space="preserve">Der Auftragnehmer kann auf die Abmahnung schriftlich binnen einer Frist von zehn Werktagen Stellung nehmen. </w:t>
      </w:r>
    </w:p>
    <w:p>
      <w:pPr>
        <w:pStyle w:val="berschrift1"/>
      </w:pPr>
      <w:r>
        <w:lastRenderedPageBreak/>
        <w:t>Verzugs- und Vertragsstrafe</w:t>
      </w:r>
    </w:p>
    <w:p>
      <w:pPr>
        <w:pStyle w:val="Listenabsatz"/>
        <w:numPr>
          <w:ilvl w:val="0"/>
          <w:numId w:val="46"/>
        </w:numPr>
        <w:spacing w:before="120" w:after="0"/>
        <w:ind w:left="426"/>
        <w:jc w:val="both"/>
      </w:pPr>
      <w:r>
        <w:t xml:space="preserve">Falls der Auftragnehmer den Einlagerungsort nach Vertragsabschluss außerhalb des Amtsgerichtsbezirks verlegt (vgl. Anlage </w:t>
      </w:r>
      <w:r>
        <w:rPr>
          <w:b/>
          <w:bCs/>
          <w:i/>
          <w:iCs/>
        </w:rPr>
        <w:t>R_2.22 Angebot lit. B I Nr. 3.1</w:t>
      </w:r>
      <w:r>
        <w:t xml:space="preserve">), hat er eine Vertragsstrafe in Höhe von 500 € je Auftrag zu entrichten. </w:t>
      </w:r>
    </w:p>
    <w:p>
      <w:pPr>
        <w:pStyle w:val="Listenabsatz"/>
        <w:numPr>
          <w:ilvl w:val="0"/>
          <w:numId w:val="46"/>
        </w:numPr>
        <w:tabs>
          <w:tab w:val="left" w:pos="851"/>
        </w:tabs>
        <w:spacing w:after="0"/>
        <w:ind w:left="426" w:hanging="426"/>
        <w:jc w:val="both"/>
      </w:pPr>
      <w:r>
        <w:t>Für den Fall, dass durch den Auftragnehmer der Räumung unterliegende Gegenstände nicht unverzüglich zum Lagerort oder zur Entsorgungsstelle gebracht werden oder an unberechtigte Personen ausgehändigt werden, ist der Auftragnehmer zur Zahlung einer Vertragsstrafe in Höhe von 250 € je Vorfall verpflichtet.</w:t>
      </w:r>
    </w:p>
    <w:p>
      <w:pPr>
        <w:pStyle w:val="Listenabsatz"/>
        <w:numPr>
          <w:ilvl w:val="0"/>
          <w:numId w:val="46"/>
        </w:numPr>
        <w:tabs>
          <w:tab w:val="left" w:pos="851"/>
        </w:tabs>
        <w:spacing w:after="0"/>
        <w:ind w:left="426" w:hanging="426"/>
        <w:jc w:val="both"/>
      </w:pPr>
      <w:r>
        <w:t xml:space="preserve">Falls der Auftragnehmer einzulagernde oder bereits eingelagerte Gegenstände ohne Beauftragung entsorgt (vgl. Anlage </w:t>
      </w:r>
      <w:r>
        <w:rPr>
          <w:b/>
          <w:bCs/>
          <w:i/>
          <w:iCs/>
        </w:rPr>
        <w:t>R_2.22 Angebot lit. B I Nr. 3.10</w:t>
      </w:r>
      <w:r>
        <w:t>), hat er eine Vertragsstrafe in Höhe von 250 € je Vorfall zu entrichten.</w:t>
      </w:r>
    </w:p>
    <w:p>
      <w:pPr>
        <w:pStyle w:val="Listenabsatz"/>
        <w:numPr>
          <w:ilvl w:val="0"/>
          <w:numId w:val="46"/>
        </w:numPr>
        <w:tabs>
          <w:tab w:val="left" w:pos="851"/>
        </w:tabs>
        <w:spacing w:after="0"/>
        <w:ind w:left="426" w:hanging="426"/>
        <w:jc w:val="both"/>
      </w:pPr>
      <w:r>
        <w:t>Falls der Auftragnehmer unbefugt einem Dritten Auskünfte erteilt, hat er eine Vertragsstrafe in Höhe von 500 € zu entrichten.</w:t>
      </w:r>
    </w:p>
    <w:p>
      <w:pPr>
        <w:pStyle w:val="Listenabsatz"/>
        <w:numPr>
          <w:ilvl w:val="0"/>
          <w:numId w:val="46"/>
        </w:numPr>
        <w:tabs>
          <w:tab w:val="left" w:pos="851"/>
        </w:tabs>
        <w:spacing w:after="0"/>
        <w:ind w:left="426" w:hanging="426"/>
        <w:jc w:val="both"/>
      </w:pPr>
      <w:r>
        <w:t xml:space="preserve">Falls der Auftragnehmer angesetzten Räumungsterminen, Vor-Ort-Terminen mit Zwecke, dem Schuldner Zutritt zum Lager zu gewähren, oder Versteigerungsterminen ohne rechtzeitige Mitteilung </w:t>
      </w:r>
      <w:proofErr w:type="gramStart"/>
      <w:r>
        <w:t>fern bleibt</w:t>
      </w:r>
      <w:proofErr w:type="gramEnd"/>
      <w:r>
        <w:t>, hat der Auftragnehmer eine Vertragsstrafe in Höhe von 250 € je Vorfall zu zahlen</w:t>
      </w:r>
    </w:p>
    <w:p>
      <w:pPr>
        <w:pStyle w:val="Listenabsatz"/>
        <w:numPr>
          <w:ilvl w:val="0"/>
          <w:numId w:val="46"/>
        </w:numPr>
        <w:tabs>
          <w:tab w:val="left" w:pos="851"/>
        </w:tabs>
        <w:spacing w:after="0"/>
        <w:ind w:left="425" w:hanging="426"/>
        <w:jc w:val="both"/>
        <w:rPr>
          <w:lang w:eastAsia="de-DE"/>
        </w:rPr>
      </w:pPr>
      <w:r>
        <w:t xml:space="preserve">Falls der Auftragnehmer gegen eine weitere sonstige Nebenleistungspflicht gem. § 5 verstößt, hat der Auftragnehmer eine Vertragsstrafe in Höhe von 250 € je Vorfall zu zahlen. </w:t>
      </w:r>
    </w:p>
    <w:p>
      <w:pPr>
        <w:pStyle w:val="Listenabsatz"/>
        <w:numPr>
          <w:ilvl w:val="0"/>
          <w:numId w:val="46"/>
        </w:numPr>
        <w:tabs>
          <w:tab w:val="left" w:pos="851"/>
        </w:tabs>
        <w:spacing w:after="0"/>
        <w:ind w:left="426" w:hanging="426"/>
        <w:jc w:val="both"/>
      </w:pPr>
      <w:r>
        <w:t>Die Voraussetzungen für eine Vertragsstrafe liegen nicht vor, soweit der Auftragnehmer die Pflichtverletzung nicht zu vertreten hat. Im Übrigen finden die §§ 339 – 345 BGB Anwendung.</w:t>
      </w:r>
    </w:p>
    <w:p>
      <w:pPr>
        <w:pStyle w:val="Listenabsatz"/>
        <w:numPr>
          <w:ilvl w:val="0"/>
          <w:numId w:val="46"/>
        </w:numPr>
        <w:tabs>
          <w:tab w:val="left" w:pos="851"/>
        </w:tabs>
        <w:spacing w:after="0"/>
        <w:ind w:left="426" w:hanging="426"/>
        <w:jc w:val="both"/>
      </w:pPr>
      <w:r>
        <w:t xml:space="preserve">Vertragsstrafen fallen für jeden einzelnen Vorfall bzw. bei jedem einzelnen Mitarbeiter gesondert an. </w:t>
      </w:r>
    </w:p>
    <w:p>
      <w:pPr>
        <w:pStyle w:val="Listenabsatz"/>
        <w:numPr>
          <w:ilvl w:val="0"/>
          <w:numId w:val="46"/>
        </w:numPr>
        <w:tabs>
          <w:tab w:val="left" w:pos="851"/>
        </w:tabs>
        <w:spacing w:after="0"/>
        <w:ind w:left="426" w:hanging="426"/>
        <w:jc w:val="both"/>
      </w:pPr>
      <w:r>
        <w:t>Die gesamte Vertragsstrafe (Addition der Einzelvertragsstrafen) in einem Jahr (beginnend mit Vertragsschluss) ist auf maximal 5 v.H. des Betrages, der dem Auftragnehmer für dieses Jahr zusteht, zuzüglich der gesetzlichen Umsatzsteuer begrenzt.</w:t>
      </w:r>
    </w:p>
    <w:p>
      <w:pPr>
        <w:pStyle w:val="berschrift1"/>
      </w:pPr>
      <w:r>
        <w:t>Sanktionen nach dem Thüringer Vergabegesetz</w:t>
      </w:r>
    </w:p>
    <w:p>
      <w:pPr>
        <w:pStyle w:val="Listenabsatz"/>
        <w:numPr>
          <w:ilvl w:val="0"/>
          <w:numId w:val="45"/>
        </w:numPr>
        <w:ind w:left="426" w:hanging="426"/>
        <w:jc w:val="both"/>
        <w:rPr>
          <w:lang w:eastAsia="de-DE"/>
        </w:rPr>
      </w:pPr>
      <w:r>
        <w:rPr>
          <w:lang w:eastAsia="de-DE"/>
        </w:rPr>
        <w:t>Der Auftragnehmer verpflichtet sich, für jeden schuldhaften Verstoß gegen eine der Verpflichtungen nach den §§ 6, 7 und 12 Abs. 2 ThürVgG, eine Vertragsstrafe im Sinne von § 13 Abs. 1 S. 1 ThürVgG in Höhe von 5 % des Auftragswertes an den Auftraggeber zu zahlen.</w:t>
      </w:r>
    </w:p>
    <w:p>
      <w:pPr>
        <w:pStyle w:val="Listenabsatz"/>
        <w:numPr>
          <w:ilvl w:val="0"/>
          <w:numId w:val="45"/>
        </w:numPr>
        <w:ind w:left="426" w:hanging="426"/>
        <w:jc w:val="both"/>
        <w:rPr>
          <w:lang w:eastAsia="de-DE"/>
        </w:rPr>
      </w:pPr>
      <w:r>
        <w:rPr>
          <w:lang w:eastAsia="de-DE"/>
        </w:rPr>
        <w:t xml:space="preserve">Der Auftragnehmer verpflichtet sich ebenfalls zur Zahlung der Vertragsstrafe für den Fall, dass der Verstoß durch einen vom Auftragnehmer selbst eingesetzten Nachunternehmer </w:t>
      </w:r>
      <w:r>
        <w:rPr>
          <w:lang w:eastAsia="de-DE"/>
        </w:rPr>
        <w:lastRenderedPageBreak/>
        <w:t>oder einen von diesem eingesetzten Nachunternehmer begangen wird, es sei denn, der Auftragnehmer kannte den Verstoß nicht und musste ihn auch nicht kennen.</w:t>
      </w:r>
    </w:p>
    <w:p>
      <w:pPr>
        <w:pStyle w:val="Listenabsatz"/>
        <w:numPr>
          <w:ilvl w:val="0"/>
          <w:numId w:val="45"/>
        </w:numPr>
        <w:ind w:left="426" w:hanging="426"/>
        <w:jc w:val="both"/>
        <w:rPr>
          <w:lang w:eastAsia="de-DE"/>
        </w:rPr>
      </w:pPr>
      <w:r>
        <w:rPr>
          <w:lang w:eastAsia="de-DE"/>
        </w:rPr>
        <w:t>Die Geltendmachung dieser Vertragsstrafe bleibt nach § 13 Abs. 4 ThürVgG von der Geltendmachung einer Vertragsstrafe aus anderen Gründen sowie der Geltendmachung sonstiger Ansprüche unberührt.</w:t>
      </w:r>
    </w:p>
    <w:p>
      <w:pPr>
        <w:pStyle w:val="Listenabsatz"/>
        <w:numPr>
          <w:ilvl w:val="0"/>
          <w:numId w:val="45"/>
        </w:numPr>
        <w:ind w:left="426" w:hanging="426"/>
        <w:jc w:val="both"/>
        <w:rPr>
          <w:lang w:eastAsia="de-DE"/>
        </w:rPr>
      </w:pPr>
      <w:r>
        <w:rPr>
          <w:lang w:eastAsia="de-DE"/>
        </w:rPr>
        <w:t>Der Auftraggeber ist zur fristlosen Kündigung des Vertrages berechtigt, wenn der Auftragnehmer und/oder dessen Nachunternehmer die aus dem § 6 ThürVgG resultierenden Anforderungen schuldhaft nicht erfüllt/erfüllen sowie schuldhaft gegen die Verpflichtungen der §§ 7 und 12 Abs. 2 ThürVgG verstößt/verstoßen.</w:t>
      </w:r>
    </w:p>
    <w:p>
      <w:pPr>
        <w:pStyle w:val="berschrift1"/>
      </w:pPr>
      <w:r>
        <w:t>Kündigungsrecht</w:t>
      </w:r>
    </w:p>
    <w:p>
      <w:pPr>
        <w:numPr>
          <w:ilvl w:val="0"/>
          <w:numId w:val="8"/>
        </w:numPr>
        <w:ind w:left="426" w:hanging="426"/>
        <w:jc w:val="both"/>
        <w:rPr>
          <w:lang w:eastAsia="de-DE"/>
        </w:rPr>
      </w:pPr>
      <w:r>
        <w:rPr>
          <w:lang w:eastAsia="de-DE"/>
        </w:rPr>
        <w:t>Der Auftraggeber ist zur außerordentlichen Kündigung aus wichtigem Grund berechtigt. Als wichtige Gründe geltend insbesondere:</w:t>
      </w:r>
    </w:p>
    <w:p>
      <w:pPr>
        <w:numPr>
          <w:ilvl w:val="0"/>
          <w:numId w:val="9"/>
        </w:numPr>
        <w:jc w:val="both"/>
        <w:rPr>
          <w:lang w:eastAsia="de-DE"/>
        </w:rPr>
      </w:pPr>
      <w:r>
        <w:rPr>
          <w:lang w:eastAsia="de-DE"/>
        </w:rPr>
        <w:t>wiederholte und trotz Abmahnung fortgesetzte Verletzung von Fristen,</w:t>
      </w:r>
    </w:p>
    <w:p>
      <w:pPr>
        <w:numPr>
          <w:ilvl w:val="0"/>
          <w:numId w:val="9"/>
        </w:numPr>
        <w:jc w:val="both"/>
        <w:rPr>
          <w:lang w:eastAsia="de-DE"/>
        </w:rPr>
      </w:pPr>
      <w:r>
        <w:rPr>
          <w:lang w:eastAsia="de-DE"/>
        </w:rPr>
        <w:t>wiederholte und trotz Abmahnung fortgesetzte Mängel bei der Vertragsausführung,</w:t>
      </w:r>
    </w:p>
    <w:p>
      <w:pPr>
        <w:numPr>
          <w:ilvl w:val="0"/>
          <w:numId w:val="9"/>
        </w:numPr>
        <w:jc w:val="both"/>
        <w:rPr>
          <w:lang w:eastAsia="de-DE"/>
        </w:rPr>
      </w:pPr>
      <w:r>
        <w:rPr>
          <w:lang w:eastAsia="de-DE"/>
        </w:rPr>
        <w:t>wiederholte und trotz Abmahnung fortgesetzte Verstöße gegen sonstige vertragliche Verpflichtungen,</w:t>
      </w:r>
    </w:p>
    <w:p>
      <w:pPr>
        <w:numPr>
          <w:ilvl w:val="0"/>
          <w:numId w:val="9"/>
        </w:numPr>
        <w:jc w:val="both"/>
        <w:rPr>
          <w:color w:val="000000" w:themeColor="text1"/>
          <w:lang w:eastAsia="de-DE"/>
        </w:rPr>
      </w:pPr>
      <w:r>
        <w:rPr>
          <w:lang w:eastAsia="de-DE"/>
        </w:rPr>
        <w:t xml:space="preserve">Wegfall des Versicherungsschutzes der Betriebshaftpflichtversicherung für mehr </w:t>
      </w:r>
      <w:r>
        <w:rPr>
          <w:color w:val="000000" w:themeColor="text1"/>
          <w:lang w:eastAsia="de-DE"/>
        </w:rPr>
        <w:t>als einen Monat,</w:t>
      </w:r>
    </w:p>
    <w:p>
      <w:pPr>
        <w:numPr>
          <w:ilvl w:val="0"/>
          <w:numId w:val="9"/>
        </w:numPr>
        <w:jc w:val="both"/>
        <w:rPr>
          <w:color w:val="000000" w:themeColor="text1"/>
          <w:lang w:eastAsia="de-DE"/>
        </w:rPr>
      </w:pPr>
      <w:r>
        <w:rPr>
          <w:color w:val="000000" w:themeColor="text1"/>
        </w:rPr>
        <w:t>die Abgabe der Vermögensauskunft gem. § 802c ZPO,</w:t>
      </w:r>
    </w:p>
    <w:p>
      <w:pPr>
        <w:numPr>
          <w:ilvl w:val="0"/>
          <w:numId w:val="9"/>
        </w:numPr>
        <w:jc w:val="both"/>
        <w:rPr>
          <w:color w:val="000000" w:themeColor="text1"/>
          <w:lang w:eastAsia="de-DE"/>
        </w:rPr>
      </w:pPr>
      <w:r>
        <w:rPr>
          <w:color w:val="000000" w:themeColor="text1"/>
        </w:rPr>
        <w:t>die Anordnung von Zwangsvollstreckungsmaßnahmen in das unbewegliche Vermögen,</w:t>
      </w:r>
    </w:p>
    <w:p>
      <w:pPr>
        <w:numPr>
          <w:ilvl w:val="0"/>
          <w:numId w:val="9"/>
        </w:numPr>
        <w:spacing w:after="0"/>
        <w:ind w:left="1066" w:hanging="357"/>
        <w:jc w:val="both"/>
        <w:rPr>
          <w:color w:val="000000" w:themeColor="text1"/>
          <w:lang w:eastAsia="de-DE"/>
        </w:rPr>
      </w:pPr>
      <w:r>
        <w:rPr>
          <w:color w:val="000000" w:themeColor="text1"/>
          <w:lang w:eastAsia="de-DE"/>
        </w:rPr>
        <w:t>Anordnung vorläufiger Sicherungsmaßnahmen nach der Insolvenzordnung oder Eröffnung eines Insolvenzverfahrens gegen den Auftragnehmer.</w:t>
      </w:r>
    </w:p>
    <w:p>
      <w:pPr>
        <w:pStyle w:val="Listenabsatz"/>
        <w:numPr>
          <w:ilvl w:val="0"/>
          <w:numId w:val="9"/>
        </w:numPr>
        <w:tabs>
          <w:tab w:val="left" w:pos="851"/>
        </w:tabs>
        <w:spacing w:after="0"/>
        <w:ind w:left="1066" w:hanging="357"/>
        <w:jc w:val="both"/>
        <w:rPr>
          <w:color w:val="000000" w:themeColor="text1"/>
          <w:lang w:eastAsia="de-DE"/>
        </w:rPr>
      </w:pPr>
      <w:r>
        <w:rPr>
          <w:color w:val="000000" w:themeColor="text1"/>
        </w:rPr>
        <w:t>wenn zum Zeitpunkt des Vertragsschlusses Ausschlussgründe vorlagen, die dem Auftraggeber erst nach Vertragsschluss bekannt geworden sind.</w:t>
      </w:r>
    </w:p>
    <w:p>
      <w:pPr>
        <w:numPr>
          <w:ilvl w:val="0"/>
          <w:numId w:val="8"/>
        </w:numPr>
        <w:ind w:left="426" w:hanging="426"/>
        <w:jc w:val="both"/>
        <w:rPr>
          <w:lang w:eastAsia="de-DE"/>
        </w:rPr>
      </w:pPr>
      <w:r>
        <w:rPr>
          <w:lang w:eastAsia="de-DE"/>
        </w:rPr>
        <w:t>Ein wichtiger Kündigungsgrund liegt weiterhin vor, wenn der Auftragnehmer Personen, die auf Seiten des Auftraggebers mit der Vorbereitung, dem Abschluss oder der Durchführung des Vertrages befasst sind oder ihnen nahestehenden Personen Vorteile anbietet, verspricht oder gewährt.</w:t>
      </w:r>
    </w:p>
    <w:p>
      <w:pPr>
        <w:numPr>
          <w:ilvl w:val="0"/>
          <w:numId w:val="8"/>
        </w:numPr>
        <w:ind w:left="426" w:hanging="426"/>
        <w:jc w:val="both"/>
        <w:rPr>
          <w:lang w:eastAsia="de-DE"/>
        </w:rPr>
      </w:pPr>
      <w:r>
        <w:rPr>
          <w:lang w:eastAsia="de-DE"/>
        </w:rPr>
        <w:t>Für den Fall der Rechtsnachfolge ist der Auftraggeber berechtigt, das Vertragsverhältnis unter Wahrung einer Frist von drei Monaten ab Kenntnis zu kündigen. Der Eintritt der Rechtsnachfolge ist dem Auftraggeber unverzüglich anzuzeigen.</w:t>
      </w:r>
    </w:p>
    <w:p>
      <w:pPr>
        <w:numPr>
          <w:ilvl w:val="0"/>
          <w:numId w:val="8"/>
        </w:numPr>
        <w:ind w:left="426" w:hanging="426"/>
        <w:jc w:val="both"/>
        <w:rPr>
          <w:lang w:eastAsia="de-DE"/>
        </w:rPr>
      </w:pPr>
      <w:r>
        <w:rPr>
          <w:lang w:eastAsia="de-DE"/>
        </w:rPr>
        <w:t xml:space="preserve">Die Kündigung hat schriftlich und per Einschreiben mit Rückschein zu erfolgen. Eine Kündigung durch elektronische Datenübermittlung ist unwirksam. Die Zusendung der Kündigung an die zuletzt vom Auftragnehmer mitgeteilte Anschrift genügt. </w:t>
      </w:r>
    </w:p>
    <w:p>
      <w:pPr>
        <w:pStyle w:val="berschrift1"/>
      </w:pPr>
      <w:r>
        <w:lastRenderedPageBreak/>
        <w:t>Vergütung</w:t>
      </w:r>
    </w:p>
    <w:p>
      <w:pPr>
        <w:pStyle w:val="Listenabsatz"/>
        <w:numPr>
          <w:ilvl w:val="0"/>
          <w:numId w:val="13"/>
        </w:numPr>
        <w:spacing w:after="0"/>
        <w:ind w:left="426" w:hanging="426"/>
        <w:jc w:val="both"/>
      </w:pPr>
      <w:r>
        <w:t xml:space="preserve">Die Vergütung ergibt sich der Anlage </w:t>
      </w:r>
      <w:r>
        <w:rPr>
          <w:b/>
          <w:i/>
        </w:rPr>
        <w:t>R_2.22</w:t>
      </w:r>
      <w:r>
        <w:t xml:space="preserve"> </w:t>
      </w:r>
      <w:r>
        <w:rPr>
          <w:b/>
          <w:i/>
        </w:rPr>
        <w:t>Angebot</w:t>
      </w:r>
      <w:r>
        <w:t xml:space="preserve">. </w:t>
      </w:r>
    </w:p>
    <w:p>
      <w:pPr>
        <w:pStyle w:val="Listenabsatz"/>
        <w:numPr>
          <w:ilvl w:val="0"/>
          <w:numId w:val="13"/>
        </w:numPr>
        <w:spacing w:after="0"/>
        <w:ind w:left="425" w:hanging="425"/>
        <w:jc w:val="both"/>
      </w:pPr>
      <w:r>
        <w:t>Der Gesamtpreis ist mit zwei Nachkommastellen als Netto- und Bruttobetrag anzugeben. Eine Skontogewährung erfolgt im Rahmen der Rechnungslegung auf den Gesamtbruttopreis.</w:t>
      </w:r>
    </w:p>
    <w:p>
      <w:pPr>
        <w:pStyle w:val="berschrift1"/>
      </w:pPr>
      <w:r>
        <w:t>Preisanpassung</w:t>
      </w:r>
    </w:p>
    <w:p>
      <w:pPr>
        <w:pStyle w:val="Listenabsatz"/>
        <w:numPr>
          <w:ilvl w:val="0"/>
          <w:numId w:val="43"/>
        </w:numPr>
        <w:ind w:left="426" w:hanging="426"/>
        <w:jc w:val="both"/>
      </w:pPr>
      <w:r>
        <w:t>Bei der vereinbarten Vergütung handelt es sich um Festpreise für den Zeitraum der ersten 12 Monate.</w:t>
      </w:r>
    </w:p>
    <w:p>
      <w:pPr>
        <w:pStyle w:val="Listenabsatz"/>
        <w:numPr>
          <w:ilvl w:val="0"/>
          <w:numId w:val="43"/>
        </w:numPr>
        <w:ind w:left="426" w:hanging="426"/>
        <w:jc w:val="both"/>
      </w:pPr>
      <w:r>
        <w:t>Sollte es nach Ablauf der unter § 14 (1) genannten Frist zur Steigerung von Materialkosten kommen, sind Preisanpassungen im gegenseitigen Einvernehmen der Vertragspartner zulässig. Dabei ist detailliert darzulegen, dass die Preise im Vergleich zum Angebotspreis derart gestiegen sind, dass ein Festhalten an den vereinbarten Preisen den Fortlauf eines ordnungsgemäßen Geschäftsbetriebs gefährden würde. Der Auftragnehmer hat die Angaben glaubhaft zu machen. Die Glaubhaftmachung soll insbesondere durch die Übermittlung der Preisentwicklung des Auftragnehmers erfolgen. Diese Preisanpassung greift erst ab einer Abweichung von mehr als 5 % von dem mit dem Angebot abgegeben Preis. Grundlage sind die in dem Angebot genannten bzw. zuletzt vereinbarten Preise. Die Anpassung der Preise erfolgt immer zum 1. eines Monats.</w:t>
      </w:r>
    </w:p>
    <w:p>
      <w:pPr>
        <w:pStyle w:val="Listenabsatz"/>
        <w:numPr>
          <w:ilvl w:val="0"/>
          <w:numId w:val="43"/>
        </w:numPr>
        <w:ind w:left="426" w:hanging="426"/>
        <w:jc w:val="both"/>
      </w:pPr>
      <w:r>
        <w:t>Im Falle des Inkrafttretens tariflicher Lohnerhöhungen, Erhöhung der gesetzlichen Sozialaufwendungen sowie des gesetzlichen Mindestlohns kann der Auftragnehmer eine Anpassung seiner Preise insoweit verlangen, wie es zum Ausgleich für Mehrkosten bei der Vertragserfüllung wegen der erhöhten Lohn- und Personalkosten erforderlich ist. Es ist darzulegen, welche Erhöhung für das jeweils eingesetzte Personal gilt. Bei nachweislich tarifgebundenen Unternehmen treten Preisänderungen zu dem im Tarifvertrag genannten Zeitpunkt, jedoch frühestens zum 1. des auf den Monat der Antragstellung folgenden Monats in Kraft. Bei nicht tarifgebundenen Unternehmen tritt eine Preisänderung frühestens zum 1. des auf den Monat der Mitteilung an den Auftraggeber über die Erklärung der Allgemeinverbindlichkeit des jeweiligen Tarifvertrages folgenden Monats in Kraft.</w:t>
      </w:r>
    </w:p>
    <w:p>
      <w:pPr>
        <w:pStyle w:val="Listenabsatz"/>
        <w:numPr>
          <w:ilvl w:val="0"/>
          <w:numId w:val="43"/>
        </w:numPr>
        <w:ind w:left="426" w:hanging="426"/>
        <w:jc w:val="both"/>
      </w:pPr>
      <w:r>
        <w:t xml:space="preserve">Die Preisanpassung muss stets spätestens sechs Wochen vorher schriftlich verlangt werden. Das Änderungsverlangen ist nur wirksam, wenn der Auftragnehmer die zur Ermittlung der Preisanpassung erforderlichen Unterlagen und Nachweise beifügt. </w:t>
      </w:r>
    </w:p>
    <w:p>
      <w:pPr>
        <w:pStyle w:val="Listenabsatz"/>
        <w:numPr>
          <w:ilvl w:val="0"/>
          <w:numId w:val="43"/>
        </w:numPr>
        <w:ind w:left="426" w:hanging="426"/>
        <w:jc w:val="both"/>
      </w:pPr>
      <w:r>
        <w:t>Die angepassten Preise gelten sodann für alle Leistungen ab Wirksamwerden der Preisanpassung.</w:t>
      </w:r>
    </w:p>
    <w:p>
      <w:pPr>
        <w:numPr>
          <w:ilvl w:val="0"/>
          <w:numId w:val="43"/>
        </w:numPr>
        <w:ind w:left="426" w:hanging="426"/>
        <w:contextualSpacing w:val="0"/>
        <w:jc w:val="both"/>
        <w:rPr>
          <w:rFonts w:eastAsia="Times New Roman" w:cs="Times New Roman"/>
          <w:szCs w:val="20"/>
        </w:rPr>
      </w:pPr>
      <w:r>
        <w:t>Der Auftragnehmer verpflichtet sich zudem, eine rückläufige Preisentwicklung unverzüglich anzuzeigen und die vereinbarten Preise dementsprechend zu reduzieren.</w:t>
      </w:r>
    </w:p>
    <w:p>
      <w:pPr>
        <w:numPr>
          <w:ilvl w:val="0"/>
          <w:numId w:val="43"/>
        </w:numPr>
        <w:spacing w:after="0"/>
        <w:ind w:left="426" w:hanging="426"/>
        <w:contextualSpacing w:val="0"/>
        <w:jc w:val="both"/>
      </w:pPr>
      <w:r>
        <w:lastRenderedPageBreak/>
        <w:t xml:space="preserve">Eine rückwirkende Erhöhung ist ausgeschlossen. Der </w:t>
      </w:r>
      <w:r>
        <w:rPr>
          <w:lang w:eastAsia="de-DE"/>
        </w:rPr>
        <w:t>Auftraggeber</w:t>
      </w:r>
      <w:r>
        <w:t xml:space="preserve"> hat das Recht die Preisanpassung bei unzureichender Begründung zurückzuweisen.</w:t>
      </w:r>
    </w:p>
    <w:p>
      <w:pPr>
        <w:pStyle w:val="berschrift1"/>
      </w:pPr>
      <w:r>
        <w:t>Rechnungslegung</w:t>
      </w:r>
    </w:p>
    <w:p>
      <w:pPr>
        <w:numPr>
          <w:ilvl w:val="0"/>
          <w:numId w:val="7"/>
        </w:numPr>
        <w:tabs>
          <w:tab w:val="clear" w:pos="360"/>
        </w:tabs>
        <w:ind w:left="426" w:hanging="426"/>
        <w:contextualSpacing w:val="0"/>
        <w:jc w:val="both"/>
      </w:pPr>
      <w:r>
        <w:t xml:space="preserve">Die Abrechnung der erbrachten Leistungen erfolgt nach Beendigung des (Einzel)-auftrages nachträglich gemäß der in der Anlage </w:t>
      </w:r>
      <w:r>
        <w:rPr>
          <w:b/>
          <w:i/>
        </w:rPr>
        <w:t>R_2.22</w:t>
      </w:r>
      <w:r>
        <w:t xml:space="preserve"> </w:t>
      </w:r>
      <w:r>
        <w:rPr>
          <w:b/>
          <w:i/>
        </w:rPr>
        <w:t>Angebot</w:t>
      </w:r>
      <w:r>
        <w:t xml:space="preserve"> angegebenen Einzelpreise je Leistungsposition multipliziert mit der angefallenen Menge ebenjener. Der Auftragnehmer hat die tatsächlich durchgeführten Speditionsdienstleistungen abzurechnen.</w:t>
      </w:r>
    </w:p>
    <w:p>
      <w:pPr>
        <w:numPr>
          <w:ilvl w:val="0"/>
          <w:numId w:val="7"/>
        </w:numPr>
        <w:tabs>
          <w:tab w:val="clear" w:pos="360"/>
        </w:tabs>
        <w:ind w:left="426" w:hanging="426"/>
        <w:contextualSpacing w:val="0"/>
        <w:jc w:val="both"/>
      </w:pPr>
      <w:r>
        <w:t xml:space="preserve">Rechnungsadressat ist der Gerichtsvollzieher, in dessen Auftrag die Dienstleistung durchgeführt wurde. </w:t>
      </w:r>
    </w:p>
    <w:p>
      <w:pPr>
        <w:numPr>
          <w:ilvl w:val="0"/>
          <w:numId w:val="7"/>
        </w:numPr>
        <w:tabs>
          <w:tab w:val="clear" w:pos="360"/>
        </w:tabs>
        <w:ind w:left="426" w:hanging="426"/>
        <w:contextualSpacing w:val="0"/>
        <w:jc w:val="both"/>
      </w:pPr>
      <w:r>
        <w:t>Die Rechnungslegung erfolgt schriftlich.</w:t>
      </w:r>
    </w:p>
    <w:p>
      <w:pPr>
        <w:numPr>
          <w:ilvl w:val="0"/>
          <w:numId w:val="7"/>
        </w:numPr>
        <w:tabs>
          <w:tab w:val="clear" w:pos="360"/>
        </w:tabs>
        <w:ind w:left="426" w:hanging="426"/>
        <w:contextualSpacing w:val="0"/>
        <w:jc w:val="both"/>
        <w:rPr>
          <w:lang w:eastAsia="de-DE"/>
        </w:rPr>
      </w:pPr>
      <w:r>
        <w:t xml:space="preserve">Der Rechnung ist ein Leistungsnachweis (vgl. § 4 I 1.b und 2.b) beizufügen, auf dem die Leistungserbringung aufgelistet und dokumentiert ist. </w:t>
      </w:r>
    </w:p>
    <w:p>
      <w:pPr>
        <w:pStyle w:val="berschrift1"/>
      </w:pPr>
      <w:r>
        <w:t>Zahlung</w:t>
      </w:r>
    </w:p>
    <w:p>
      <w:pPr>
        <w:pStyle w:val="Listenabsatz"/>
        <w:numPr>
          <w:ilvl w:val="0"/>
          <w:numId w:val="15"/>
        </w:numPr>
        <w:tabs>
          <w:tab w:val="left" w:pos="851"/>
        </w:tabs>
        <w:spacing w:after="0"/>
        <w:ind w:left="426" w:hanging="426"/>
        <w:jc w:val="both"/>
      </w:pPr>
      <w:r>
        <w:t xml:space="preserve">Die Zahlung wird bargeldlos in EUR durch Überweisung auf das Konto des Auftragnehmers geleistet. Sie hat gemäß der vereinbarten Zahlungsbedingungen zu erfolgen. Fehlen solche Vereinbarungen, so hat die Zahlung des Rechnungsbetrages binnen 30 Tagen nach Eingang der prüfbaren Rechnung zu erfolgen. Eine Rechnung gilt als prüfbar, sofern sämtliche Einzelpositionen in transparenter und nachvollziehbarer Weise zu entnehmen sind. Ein SEPA-Lastschriftmandat wird nicht erteilt. Ist der Auftragnehmer eine Bietergemeinschaft, bestimmt diese spätestens mit der ersten Rechnungslegung das für den Zahlungsverkehr mit dem </w:t>
      </w:r>
      <w:r>
        <w:rPr>
          <w:lang w:eastAsia="de-DE"/>
        </w:rPr>
        <w:t>Auftraggeber</w:t>
      </w:r>
      <w:r>
        <w:t xml:space="preserve"> gültige Bankkonto; widrigenfalls wird der Auftraggeber durch die an den Vertreter der Bietergemeinschaft geleistete Zahlung auch gegenüber der Gesellschaft bzw. den anderen Gemeinschaftsmitgliedern befreit.</w:t>
      </w:r>
    </w:p>
    <w:p>
      <w:pPr>
        <w:pStyle w:val="Listenabsatz"/>
        <w:numPr>
          <w:ilvl w:val="0"/>
          <w:numId w:val="15"/>
        </w:numPr>
        <w:tabs>
          <w:tab w:val="left" w:pos="851"/>
        </w:tabs>
        <w:spacing w:after="0"/>
        <w:ind w:left="426" w:hanging="426"/>
        <w:jc w:val="both"/>
      </w:pPr>
      <w:r>
        <w:t xml:space="preserve">Zahlungstag ist auch für Skontoabzugsberechtigungen das Datum der Abgabe oder Absendung des Zahlungsauftrages an ein Geldinstitut. Ausnahmen bestehen für Fälle, in denen aufgrund nicht von dem Auftragnehmer zu vertretenen Umständen, die Zahlung unmöglich ist. Die Ausnahmen sind zu dokumentieren und dem </w:t>
      </w:r>
      <w:r>
        <w:rPr>
          <w:lang w:eastAsia="de-DE"/>
        </w:rPr>
        <w:t>Auftraggeber</w:t>
      </w:r>
      <w:r>
        <w:t xml:space="preserve"> auf Verlangen vorzulegen.</w:t>
      </w:r>
    </w:p>
    <w:p>
      <w:pPr>
        <w:pStyle w:val="Listenabsatz"/>
        <w:numPr>
          <w:ilvl w:val="0"/>
          <w:numId w:val="15"/>
        </w:numPr>
        <w:spacing w:after="0"/>
        <w:ind w:left="426" w:hanging="426"/>
        <w:jc w:val="both"/>
        <w:rPr>
          <w:lang w:eastAsia="de-DE"/>
        </w:rPr>
      </w:pPr>
      <w:r>
        <w:t xml:space="preserve">Auf eine aus einer irrtümlichen Überzahlung resultierende Rückforderung des </w:t>
      </w:r>
      <w:r>
        <w:rPr>
          <w:lang w:eastAsia="de-DE"/>
        </w:rPr>
        <w:t>Auftraggebers</w:t>
      </w:r>
      <w:r>
        <w:t xml:space="preserve"> (§§ 812 ff. BGB) kann sich der Auftragnehmer nicht auf den Wegfall der Bereicherung (§ 818 III BGB) berufen. Überzahlungen sind innerhalb von 14 Kalendertagen nach Zugang des Rückforderungsschreibens auszugleichen. Beträgt der Zahlungsrückstand mehr als einen Monat und ergeben sich für den Auftraggeber keine </w:t>
      </w:r>
      <w:r>
        <w:lastRenderedPageBreak/>
        <w:t>Aufrechnungsmöglichkeiten, ist die Rückforderung unabhängig vom Vorliegen der Voraussetzungen des § 286 BGB mit acht Prozent über dem Basiszinssatz des § 247 BGB verzinst.</w:t>
      </w:r>
    </w:p>
    <w:p>
      <w:pPr>
        <w:pStyle w:val="berschrift1"/>
      </w:pPr>
      <w:r>
        <w:t>Abtretung von Entgeltforderungen</w:t>
      </w:r>
    </w:p>
    <w:p>
      <w:pPr>
        <w:pStyle w:val="Listenabsatz"/>
        <w:numPr>
          <w:ilvl w:val="0"/>
          <w:numId w:val="16"/>
        </w:numPr>
        <w:spacing w:after="0"/>
        <w:ind w:left="426" w:hanging="426"/>
        <w:jc w:val="both"/>
      </w:pPr>
      <w:r>
        <w:t xml:space="preserve">Unbeschadet der Regelung in § 354a HGB ist die Abtretung der Entgeltforderung ausgeschlossen, es sei denn, der Auftraggeber stimmt der Abtretung ausdrücklich zu. </w:t>
      </w:r>
    </w:p>
    <w:p>
      <w:pPr>
        <w:pStyle w:val="Listenabsatz"/>
        <w:numPr>
          <w:ilvl w:val="0"/>
          <w:numId w:val="16"/>
        </w:numPr>
        <w:spacing w:after="0"/>
        <w:ind w:left="426" w:hanging="426"/>
        <w:jc w:val="both"/>
        <w:rPr>
          <w:lang w:eastAsia="de-DE"/>
        </w:rPr>
      </w:pPr>
      <w:r>
        <w:t>Zur Abtretung verpflichtet ist der Auftraggeber, wenn der Auftragnehmer ihm Tatsachen nachweist, die die Abtretung im wirtschaftlichen Unternehmensinteresse gebietet, die Abtretung nicht mehr als die nächsten drei Monatsentgelte umfasst oder der Abtretungsempfänger erklärt, das Vorliegen der Gegenseitigkeit als Aufrechnungsvoraussetzung auch in Bezug auf die erworbene Forderung und Gegenforderungen des Landesfiskus anzuerkennen.</w:t>
      </w:r>
    </w:p>
    <w:p>
      <w:pPr>
        <w:pStyle w:val="berschrift1"/>
      </w:pPr>
      <w:r>
        <w:t>Verschwiegenheit und Geheimhaltung</w:t>
      </w:r>
    </w:p>
    <w:p>
      <w:pPr>
        <w:pStyle w:val="Listenabsatz"/>
        <w:numPr>
          <w:ilvl w:val="0"/>
          <w:numId w:val="17"/>
        </w:numPr>
        <w:spacing w:after="0"/>
        <w:ind w:left="426" w:hanging="426"/>
        <w:jc w:val="both"/>
      </w:pPr>
      <w:r>
        <w:t xml:space="preserve">Sämtliche Unterlagen, die dem Interessenten, Bewerber, Bieter oder dem Auftragnehmer im Zusammenhang mit dem Vergabeverfahren sowie im Falle eines Zuschlages mit der anschließenden Erfüllung des Vertrages überlassen werden, sind vertraulich zu behandeln und dürfen nicht für andere Zwecke als für das jeweils vorliegende Vergabeverfahren verwendet, vervielfältigt oder Dritten zugänglich gemacht werden. Eine Ausnahme gilt nur dann, wenn es sich bei dem Dritten um einen Nachunternehmer, auf den die Geheimhaltungsklausel gleichfalls gilt, handelt. Gleiches gilt für Unterlagen, welche der Auftragnehmer aufgrund von besonderen Angaben von dem Auftraggeber im Rahmen der Auftragsabwicklung erhält. </w:t>
      </w:r>
    </w:p>
    <w:p>
      <w:pPr>
        <w:pStyle w:val="Listenabsatz"/>
        <w:numPr>
          <w:ilvl w:val="0"/>
          <w:numId w:val="17"/>
        </w:numPr>
        <w:spacing w:after="0"/>
        <w:ind w:left="426" w:hanging="426"/>
        <w:jc w:val="both"/>
      </w:pPr>
      <w:r>
        <w:t xml:space="preserve">Es sei weiterhin auf die Anlage </w:t>
      </w:r>
      <w:r>
        <w:rPr>
          <w:b/>
          <w:i/>
        </w:rPr>
        <w:t>R_4 GE &amp; Datenschutzhinweise</w:t>
      </w:r>
      <w:r>
        <w:t xml:space="preserve"> hingewiesen.</w:t>
      </w:r>
    </w:p>
    <w:p>
      <w:pPr>
        <w:pStyle w:val="Listenabsatz"/>
        <w:numPr>
          <w:ilvl w:val="0"/>
          <w:numId w:val="17"/>
        </w:numPr>
        <w:spacing w:after="0"/>
        <w:ind w:left="426" w:hanging="426"/>
        <w:jc w:val="both"/>
        <w:rPr>
          <w:lang w:eastAsia="de-DE"/>
        </w:rPr>
      </w:pPr>
      <w:r>
        <w:t>Über die Veröffentlichung von unternehmenseigenen Leistungen bezüglich der Auftragsausführung entscheidet der Auftragnehmer eigenmächtig. Anderes gilt nur, sofern die Veröffentlichung Daten oder Informationen des respektive über den Auftraggeber beinhalten würde; in diesem Fall entscheiden der Auftraggeber und der Auftragnehmer gemeinsam über Art und Umfang der Veröffentlichung.</w:t>
      </w:r>
    </w:p>
    <w:p>
      <w:pPr>
        <w:pStyle w:val="berschrift1"/>
      </w:pPr>
      <w:r>
        <w:t>Haftung, Schadenersatz, Versicherung</w:t>
      </w:r>
    </w:p>
    <w:p>
      <w:pPr>
        <w:numPr>
          <w:ilvl w:val="0"/>
          <w:numId w:val="29"/>
        </w:numPr>
        <w:ind w:left="426" w:hanging="426"/>
        <w:jc w:val="both"/>
        <w:rPr>
          <w:lang w:eastAsia="de-DE"/>
        </w:rPr>
      </w:pPr>
      <w:r>
        <w:rPr>
          <w:lang w:eastAsia="de-DE"/>
        </w:rPr>
        <w:t>Der Auftragnehmer hat für ausreichende Sicherungsvorkehrungen zu sorgen. Er haftet für die von ihm oder seinen Erfüllungsgehilfen schuldhaft verursachten Personen-, Sach- und Vermögensschäden, die in Erfüllung seiner vertraglich vereinbarten Leistungen entstehen.</w:t>
      </w:r>
    </w:p>
    <w:p>
      <w:pPr>
        <w:numPr>
          <w:ilvl w:val="0"/>
          <w:numId w:val="29"/>
        </w:numPr>
        <w:ind w:left="426" w:hanging="426"/>
        <w:jc w:val="both"/>
        <w:rPr>
          <w:lang w:eastAsia="de-DE"/>
        </w:rPr>
      </w:pPr>
      <w:r>
        <w:rPr>
          <w:lang w:eastAsia="de-DE"/>
        </w:rPr>
        <w:t xml:space="preserve">Die Haftungsübernahme erfolgt durch die Betriebshaftpflichtversicherung des Auftragnehmers. Diese ist nachzuweisen. </w:t>
      </w:r>
    </w:p>
    <w:p>
      <w:pPr>
        <w:pStyle w:val="berschrift1"/>
      </w:pPr>
      <w:r>
        <w:lastRenderedPageBreak/>
        <w:t>Vertragsänderungen</w:t>
      </w:r>
    </w:p>
    <w:p>
      <w:pPr>
        <w:jc w:val="both"/>
        <w:rPr>
          <w:lang w:eastAsia="de-DE"/>
        </w:rPr>
      </w:pPr>
      <w:r>
        <w:t>Es ist derzeit nicht geplant, aber nicht auszuschließen, dass während der Vertragslaufzeit infolge einer durch den Landesgesetzgeber beschlossenen Änderung der Gerichtsorganisation oder durch eine sonstige organisatorische Entscheidung der Landesjustizverwaltung, sich eine Änderung hinsichtlich der vorstehend benannten Dienststellen ergibt. Der Bestand dieses Vertrages als solcher wird dadurch nicht berührt. Er ist infolge der Änderungen an die tatsächlichen Gegebenheiten zu transformieren, wobei eine möglichst inhaltsnahe Anpassung anzustreben ist.</w:t>
      </w:r>
    </w:p>
    <w:p>
      <w:pPr>
        <w:pStyle w:val="berschrift1"/>
      </w:pPr>
      <w:r>
        <w:t>Schlussbestimmungen</w:t>
      </w:r>
    </w:p>
    <w:p>
      <w:pPr>
        <w:pStyle w:val="Listenabsatz"/>
        <w:numPr>
          <w:ilvl w:val="0"/>
          <w:numId w:val="3"/>
        </w:numPr>
        <w:spacing w:before="120"/>
        <w:contextualSpacing w:val="0"/>
        <w:jc w:val="both"/>
      </w:pPr>
      <w:r>
        <w:t>Änderungen der Rahmenvereinbarung bedürfen stets der Schriftform und sind nur mit Zustimmung der Auftraggeberin zulässig. Hiervon kann nicht durch Änderung der Rahmenvereinbarung abgewichen werden.</w:t>
      </w:r>
    </w:p>
    <w:p>
      <w:pPr>
        <w:pStyle w:val="Listenabsatz"/>
        <w:numPr>
          <w:ilvl w:val="0"/>
          <w:numId w:val="3"/>
        </w:numPr>
        <w:spacing w:before="120"/>
        <w:contextualSpacing w:val="0"/>
        <w:jc w:val="both"/>
      </w:pPr>
      <w:r>
        <w:t>Sollten eine oder mehrere Bestimmungen dieser Rahmenvereinbarung unwirksam sein oder werden, so soll dadurch die Gültigkeit der übrigen Rahmenvereinbarungsbestimmungen nicht berührt werden. Die Vertragsparteien werden im Rahmen des Zumutbaren nach Treu und Glauben die unwirksame Bestimmung durch eine ihr im rechtlichen und wirtschaftlichen Erfolg möglichst nahekommende Regelung ersetzen.</w:t>
      </w:r>
    </w:p>
    <w:p>
      <w:pPr>
        <w:pStyle w:val="Listenabsatz"/>
        <w:numPr>
          <w:ilvl w:val="0"/>
          <w:numId w:val="3"/>
        </w:numPr>
        <w:tabs>
          <w:tab w:val="clear" w:pos="360"/>
        </w:tabs>
        <w:ind w:left="426" w:hanging="426"/>
        <w:contextualSpacing w:val="0"/>
        <w:jc w:val="both"/>
      </w:pPr>
      <w:r>
        <w:rPr>
          <w:color w:val="000000" w:themeColor="text1"/>
        </w:rPr>
        <w:t xml:space="preserve">Abweichende allgemeine Geschäftsbedingungen (AGB) des Auftragnehmers werden kein Vertragsbestandteil. </w:t>
      </w:r>
    </w:p>
    <w:p>
      <w:pPr>
        <w:numPr>
          <w:ilvl w:val="0"/>
          <w:numId w:val="3"/>
        </w:numPr>
        <w:tabs>
          <w:tab w:val="clear" w:pos="360"/>
          <w:tab w:val="left" w:pos="720"/>
        </w:tabs>
        <w:ind w:left="426" w:hanging="426"/>
        <w:contextualSpacing w:val="0"/>
        <w:jc w:val="both"/>
      </w:pPr>
      <w:r>
        <w:t>Im Übrigen gelten die Allgemeinen Vertragsbedingungen für die Ausführung von Leistungen (VOL/B) in der Fassung vom 5. August 2003</w:t>
      </w:r>
    </w:p>
    <w:p>
      <w:pPr>
        <w:numPr>
          <w:ilvl w:val="0"/>
          <w:numId w:val="3"/>
        </w:numPr>
        <w:tabs>
          <w:tab w:val="clear" w:pos="360"/>
          <w:tab w:val="left" w:pos="720"/>
        </w:tabs>
        <w:ind w:left="426" w:hanging="426"/>
        <w:contextualSpacing w:val="0"/>
        <w:jc w:val="both"/>
      </w:pPr>
      <w:r>
        <w:t>Gerichtsstand für alle Streitigkeiten aus diesem Vertrag ist Jena.</w:t>
      </w:r>
    </w:p>
    <w:p>
      <w:pPr>
        <w:tabs>
          <w:tab w:val="left" w:pos="5103"/>
          <w:tab w:val="left" w:pos="5670"/>
        </w:tabs>
        <w:spacing w:line="240" w:lineRule="auto"/>
      </w:pPr>
      <w:r>
        <w:rPr>
          <w:color w:val="FF0000"/>
        </w:rPr>
        <w:fldChar w:fldCharType="begin">
          <w:ffData>
            <w:name w:val="Text1"/>
            <w:enabled/>
            <w:calcOnExit w:val="0"/>
            <w:textInput/>
          </w:ffData>
        </w:fldChar>
      </w:r>
      <w:bookmarkStart w:id="9" w:name="Text1"/>
      <w:r>
        <w:rPr>
          <w:color w:val="FF0000"/>
        </w:rPr>
        <w:instrText xml:space="preserve"> FORMTEXT </w:instrText>
      </w:r>
      <w:r>
        <w:rPr>
          <w:color w:val="FF0000"/>
        </w:rPr>
      </w:r>
      <w:r>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Pr>
          <w:color w:val="FF0000"/>
        </w:rPr>
        <w:fldChar w:fldCharType="end"/>
      </w:r>
      <w:bookmarkEnd w:id="9"/>
      <w:r>
        <w:tab/>
      </w:r>
      <w:r>
        <w:rPr>
          <w:color w:val="FF0000"/>
        </w:rPr>
        <w:fldChar w:fldCharType="begin">
          <w:ffData>
            <w:name w:val="Text1"/>
            <w:enabled/>
            <w:calcOnExit w:val="0"/>
            <w:textInput/>
          </w:ffData>
        </w:fldChar>
      </w:r>
      <w:r>
        <w:rPr>
          <w:color w:val="FF0000"/>
        </w:rPr>
        <w:instrText xml:space="preserve"> FORMTEXT </w:instrText>
      </w:r>
      <w:r>
        <w:rPr>
          <w:color w:val="FF0000"/>
        </w:rPr>
      </w:r>
      <w:r>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Pr>
          <w:color w:val="FF0000"/>
        </w:rPr>
        <w:fldChar w:fldCharType="end"/>
      </w:r>
    </w:p>
    <w:p>
      <w:pPr>
        <w:tabs>
          <w:tab w:val="left" w:pos="5103"/>
        </w:tabs>
        <w:spacing w:line="240" w:lineRule="auto"/>
      </w:pPr>
      <w:r>
        <w:t>____________________________</w:t>
      </w:r>
      <w:r>
        <w:tab/>
        <w:t>___________________________</w:t>
      </w:r>
    </w:p>
    <w:p>
      <w:pPr>
        <w:tabs>
          <w:tab w:val="left" w:pos="5103"/>
        </w:tabs>
        <w:rPr>
          <w:sz w:val="14"/>
          <w:szCs w:val="16"/>
        </w:rPr>
      </w:pPr>
      <w:r>
        <w:rPr>
          <w:sz w:val="16"/>
        </w:rPr>
        <w:t>Ort, Datum, Unterschrift Auftraggeber</w:t>
      </w:r>
      <w:r>
        <w:rPr>
          <w:sz w:val="16"/>
        </w:rPr>
        <w:tab/>
        <w:t>Ort, Datum, Name des Erklärenden des Bieters*</w:t>
      </w:r>
    </w:p>
    <w:p>
      <w:pPr>
        <w:pStyle w:val="Funotentext"/>
        <w:spacing w:line="360" w:lineRule="auto"/>
        <w:jc w:val="both"/>
      </w:pPr>
      <w:r>
        <w:rPr>
          <w:rFonts w:cs="Arial"/>
          <w:i/>
          <w:sz w:val="16"/>
          <w:szCs w:val="16"/>
        </w:rPr>
        <w:t xml:space="preserve">* </w:t>
      </w:r>
      <w:r>
        <w:rPr>
          <w:rFonts w:cs="Arial"/>
          <w:i/>
          <w:sz w:val="16"/>
          <w:szCs w:val="16"/>
          <w:u w:val="single"/>
        </w:rPr>
        <w:t>Hinweis:</w:t>
      </w:r>
      <w:r>
        <w:rPr>
          <w:rFonts w:cs="Arial"/>
          <w:i/>
          <w:sz w:val="16"/>
          <w:szCs w:val="16"/>
        </w:rPr>
        <w:t xml:space="preserve"> Die Textform gem. § 126 b S. 1 BGB kann durch sowohl Schriftform gem. § 126 I BGB als auch elektronische Form gem. § 126 a I BGB ersetzt werden. Dem Bieter kommt hierbei ein Wahlrecht zu.</w:t>
      </w:r>
    </w:p>
    <w:sectPr>
      <w:headerReference w:type="even" r:id="rId8"/>
      <w:headerReference w:type="default" r:id="rId9"/>
      <w:footerReference w:type="even" r:id="rId10"/>
      <w:footerReference w:type="default" r:id="rId11"/>
      <w:headerReference w:type="first" r:id="rId12"/>
      <w:footerReference w:type="first" r:id="rId13"/>
      <w:pgSz w:w="11906" w:h="16838"/>
      <w:pgMar w:top="1702"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rPr>
        <w:sz w:val="16"/>
        <w:lang w:eastAsia="de-DE"/>
      </w:rPr>
    </w:pPr>
    <w:r>
      <w:rPr>
        <w:sz w:val="16"/>
        <w:lang w:eastAsia="de-DE"/>
      </w:rPr>
      <w:t xml:space="preserve">R 1.22 Rahmenvereinbarung; Version 1 vom 03.03.2026 </w:t>
    </w:r>
    <w:r>
      <w:rPr>
        <w:sz w:val="16"/>
        <w:lang w:eastAsia="de-DE"/>
      </w:rPr>
      <w:tab/>
    </w:r>
    <w:r>
      <w:rPr>
        <w:sz w:val="16"/>
        <w:lang w:eastAsia="de-DE"/>
      </w:rPr>
      <w:tab/>
    </w:r>
    <w:r>
      <w:rPr>
        <w:sz w:val="16"/>
        <w:lang w:eastAsia="de-DE"/>
      </w:rPr>
      <w:tab/>
    </w:r>
    <w:r>
      <w:rPr>
        <w:sz w:val="16"/>
        <w:lang w:eastAsia="de-DE"/>
      </w:rPr>
      <w:tab/>
    </w:r>
    <w:r>
      <w:rPr>
        <w:sz w:val="16"/>
        <w:lang w:eastAsia="de-DE"/>
      </w:rPr>
      <w:tab/>
    </w:r>
    <w:r>
      <w:rPr>
        <w:sz w:val="16"/>
        <w:lang w:eastAsia="de-DE"/>
      </w:rPr>
      <w:tab/>
      <w:t xml:space="preserve"> Seite </w:t>
    </w:r>
    <w:r>
      <w:rPr>
        <w:sz w:val="16"/>
        <w:lang w:eastAsia="de-DE"/>
      </w:rPr>
      <w:fldChar w:fldCharType="begin"/>
    </w:r>
    <w:r>
      <w:rPr>
        <w:sz w:val="16"/>
        <w:lang w:eastAsia="de-DE"/>
      </w:rPr>
      <w:instrText>PAGE  \* Arabic  \* MERGEFORMAT</w:instrText>
    </w:r>
    <w:r>
      <w:rPr>
        <w:sz w:val="16"/>
        <w:lang w:eastAsia="de-DE"/>
      </w:rPr>
      <w:fldChar w:fldCharType="separate"/>
    </w:r>
    <w:r>
      <w:rPr>
        <w:noProof/>
        <w:sz w:val="16"/>
        <w:lang w:eastAsia="de-DE"/>
      </w:rPr>
      <w:t>6</w:t>
    </w:r>
    <w:r>
      <w:rPr>
        <w:sz w:val="16"/>
        <w:lang w:eastAsia="de-DE"/>
      </w:rPr>
      <w:fldChar w:fldCharType="end"/>
    </w:r>
    <w:r>
      <w:rPr>
        <w:sz w:val="16"/>
        <w:lang w:eastAsia="de-DE"/>
      </w:rPr>
      <w:t xml:space="preserve"> von </w:t>
    </w:r>
    <w:r>
      <w:rPr>
        <w:sz w:val="16"/>
        <w:lang w:eastAsia="de-DE"/>
      </w:rPr>
      <w:fldChar w:fldCharType="begin"/>
    </w:r>
    <w:r>
      <w:rPr>
        <w:sz w:val="16"/>
        <w:lang w:eastAsia="de-DE"/>
      </w:rPr>
      <w:instrText>NUMPAGES  \* Arabic  \* MERGEFORMAT</w:instrText>
    </w:r>
    <w:r>
      <w:rPr>
        <w:sz w:val="16"/>
        <w:lang w:eastAsia="de-DE"/>
      </w:rPr>
      <w:fldChar w:fldCharType="separate"/>
    </w:r>
    <w:r>
      <w:rPr>
        <w:noProof/>
        <w:sz w:val="16"/>
        <w:lang w:eastAsia="de-DE"/>
      </w:rPr>
      <w:t>13</w:t>
    </w:r>
    <w:r>
      <w:rPr>
        <w:sz w:val="16"/>
        <w:lang w:eastAsia="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bottom w:val="single" w:sz="4" w:space="0" w:color="auto"/>
      </w:pBdr>
      <w:spacing w:line="240" w:lineRule="auto"/>
      <w:rPr>
        <w:sz w:val="16"/>
      </w:rPr>
    </w:pPr>
    <w:r>
      <w:rPr>
        <w:sz w:val="16"/>
      </w:rPr>
      <w:t>Zentrale Vergabestelle des Thüringer Oberlandesgerichts – Az.: 5400 E Verg – 13/25</w:t>
    </w:r>
  </w:p>
  <w:p>
    <w:pPr>
      <w:pBdr>
        <w:bottom w:val="single" w:sz="4" w:space="0" w:color="auto"/>
      </w:pBdr>
      <w:spacing w:line="240" w:lineRule="auto"/>
      <w:rPr>
        <w:sz w:val="16"/>
      </w:rPr>
    </w:pPr>
    <w:r>
      <w:rPr>
        <w:sz w:val="16"/>
      </w:rPr>
      <w:t>Vergabe einer Rahmenvereinbarung für Speditionsdienstleistungen (einschließlich Räumung, Abtransport, Einlagerung und Vernichtung) im Rahmen von Räumungsvollstreckungen für die Amtsgerichte des Freistaats Thüringen</w:t>
    </w:r>
  </w:p>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9F1"/>
    <w:multiLevelType w:val="hybridMultilevel"/>
    <w:tmpl w:val="F44EDFC0"/>
    <w:lvl w:ilvl="0" w:tplc="04070015">
      <w:start w:val="1"/>
      <w:numFmt w:val="decimal"/>
      <w:lvlText w:val="(%1)"/>
      <w:lvlJc w:val="left"/>
      <w:pPr>
        <w:ind w:left="502"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9E064B"/>
    <w:multiLevelType w:val="hybridMultilevel"/>
    <w:tmpl w:val="1A9EA23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3D2ED5"/>
    <w:multiLevelType w:val="hybridMultilevel"/>
    <w:tmpl w:val="5E1E429E"/>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BE718E"/>
    <w:multiLevelType w:val="hybridMultilevel"/>
    <w:tmpl w:val="6E5A1490"/>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E381D01"/>
    <w:multiLevelType w:val="hybridMultilevel"/>
    <w:tmpl w:val="A946888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7F550A"/>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6" w15:restartNumberingAfterBreak="0">
    <w:nsid w:val="119368AE"/>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7" w15:restartNumberingAfterBreak="0">
    <w:nsid w:val="127C65B6"/>
    <w:multiLevelType w:val="hybridMultilevel"/>
    <w:tmpl w:val="E7484A56"/>
    <w:lvl w:ilvl="0" w:tplc="3A74D6C4">
      <w:start w:val="1"/>
      <w:numFmt w:val="decimal"/>
      <w:lvlText w:val="(%1)"/>
      <w:lvlJc w:val="left"/>
      <w:pPr>
        <w:ind w:left="294" w:hanging="360"/>
      </w:pPr>
      <w:rPr>
        <w:rFonts w:hint="default"/>
        <w:b w:val="0"/>
        <w:sz w:val="22"/>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44E3561"/>
    <w:multiLevelType w:val="hybridMultilevel"/>
    <w:tmpl w:val="1EF61AC6"/>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9DD595A"/>
    <w:multiLevelType w:val="hybridMultilevel"/>
    <w:tmpl w:val="BF7A3C20"/>
    <w:lvl w:ilvl="0" w:tplc="04070017">
      <w:start w:val="1"/>
      <w:numFmt w:val="lowerLetter"/>
      <w:pStyle w:val="berschrift3"/>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C936462"/>
    <w:multiLevelType w:val="hybridMultilevel"/>
    <w:tmpl w:val="9B7C8DB6"/>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D770976"/>
    <w:multiLevelType w:val="hybridMultilevel"/>
    <w:tmpl w:val="D00252CE"/>
    <w:lvl w:ilvl="0" w:tplc="DCBA904C">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2B6494E"/>
    <w:multiLevelType w:val="hybridMultilevel"/>
    <w:tmpl w:val="FFA4F12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3911B14"/>
    <w:multiLevelType w:val="hybridMultilevel"/>
    <w:tmpl w:val="0CC2CA7C"/>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4797016"/>
    <w:multiLevelType w:val="hybridMultilevel"/>
    <w:tmpl w:val="ACF23866"/>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247E22D1"/>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16" w15:restartNumberingAfterBreak="0">
    <w:nsid w:val="277E409C"/>
    <w:multiLevelType w:val="hybridMultilevel"/>
    <w:tmpl w:val="B810C00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9D46721"/>
    <w:multiLevelType w:val="hybridMultilevel"/>
    <w:tmpl w:val="711487EC"/>
    <w:lvl w:ilvl="0" w:tplc="04070015">
      <w:start w:val="1"/>
      <w:numFmt w:val="decimal"/>
      <w:lvlText w:val="(%1)"/>
      <w:lvlJc w:val="left"/>
      <w:pPr>
        <w:ind w:left="720" w:hanging="360"/>
      </w:pPr>
      <w:rPr>
        <w:rFonts w:hint="default"/>
        <w:b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ABD5169"/>
    <w:multiLevelType w:val="multilevel"/>
    <w:tmpl w:val="B478DF4E"/>
    <w:lvl w:ilvl="0">
      <w:start w:val="1"/>
      <w:numFmt w:val="decimal"/>
      <w:pStyle w:val="berschrift1"/>
      <w:lvlText w:val="§ %1"/>
      <w:lvlJc w:val="left"/>
      <w:pPr>
        <w:tabs>
          <w:tab w:val="num" w:pos="720"/>
        </w:tabs>
        <w:ind w:left="720" w:hanging="720"/>
      </w:pPr>
      <w:rPr>
        <w:rFonts w:hint="default"/>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C957C87"/>
    <w:multiLevelType w:val="hybridMultilevel"/>
    <w:tmpl w:val="E7484A56"/>
    <w:lvl w:ilvl="0" w:tplc="3A74D6C4">
      <w:start w:val="1"/>
      <w:numFmt w:val="decimal"/>
      <w:lvlText w:val="(%1)"/>
      <w:lvlJc w:val="left"/>
      <w:pPr>
        <w:ind w:left="294" w:hanging="360"/>
      </w:pPr>
      <w:rPr>
        <w:rFonts w:hint="default"/>
        <w:b w:val="0"/>
        <w:sz w:val="22"/>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EC14F67"/>
    <w:multiLevelType w:val="hybridMultilevel"/>
    <w:tmpl w:val="D04CB188"/>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79504E3"/>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22" w15:restartNumberingAfterBreak="0">
    <w:nsid w:val="37981308"/>
    <w:multiLevelType w:val="hybridMultilevel"/>
    <w:tmpl w:val="7BC8445A"/>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95A79CC"/>
    <w:multiLevelType w:val="hybridMultilevel"/>
    <w:tmpl w:val="B8BA37B8"/>
    <w:lvl w:ilvl="0" w:tplc="04070015">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4" w15:restartNumberingAfterBreak="0">
    <w:nsid w:val="396230AC"/>
    <w:multiLevelType w:val="hybridMultilevel"/>
    <w:tmpl w:val="BF162FD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B7B2FA2"/>
    <w:multiLevelType w:val="hybridMultilevel"/>
    <w:tmpl w:val="3852F176"/>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6" w15:restartNumberingAfterBreak="0">
    <w:nsid w:val="3EF325B1"/>
    <w:multiLevelType w:val="hybridMultilevel"/>
    <w:tmpl w:val="7A300238"/>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7" w15:restartNumberingAfterBreak="0">
    <w:nsid w:val="3F473937"/>
    <w:multiLevelType w:val="hybridMultilevel"/>
    <w:tmpl w:val="85824DF4"/>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8" w15:restartNumberingAfterBreak="0">
    <w:nsid w:val="421D0775"/>
    <w:multiLevelType w:val="hybridMultilevel"/>
    <w:tmpl w:val="F73AF2E4"/>
    <w:lvl w:ilvl="0" w:tplc="CE842DC4">
      <w:start w:val="1"/>
      <w:numFmt w:val="decimal"/>
      <w:lvlText w:val="(%1)"/>
      <w:lvlJc w:val="left"/>
      <w:pPr>
        <w:ind w:left="720" w:hanging="360"/>
      </w:pPr>
      <w:rPr>
        <w:b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84E2CD7"/>
    <w:multiLevelType w:val="hybridMultilevel"/>
    <w:tmpl w:val="D8DE3E0C"/>
    <w:lvl w:ilvl="0" w:tplc="04070015">
      <w:start w:val="1"/>
      <w:numFmt w:val="decimal"/>
      <w:lvlText w:val="(%1)"/>
      <w:lvlJc w:val="left"/>
      <w:pPr>
        <w:tabs>
          <w:tab w:val="num" w:pos="720"/>
        </w:tabs>
        <w:ind w:left="720" w:hanging="360"/>
      </w:pPr>
    </w:lvl>
    <w:lvl w:ilvl="1" w:tplc="11205B9E">
      <w:start w:val="1"/>
      <w:numFmt w:val="lowerLetter"/>
      <w:lvlText w:val="%2."/>
      <w:lvlJc w:val="left"/>
      <w:pPr>
        <w:tabs>
          <w:tab w:val="num" w:pos="505"/>
        </w:tabs>
        <w:ind w:left="505" w:hanging="363"/>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4A0D1A47"/>
    <w:multiLevelType w:val="hybridMultilevel"/>
    <w:tmpl w:val="AF8AF838"/>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1" w15:restartNumberingAfterBreak="0">
    <w:nsid w:val="4B6222B9"/>
    <w:multiLevelType w:val="hybridMultilevel"/>
    <w:tmpl w:val="DD0A6E98"/>
    <w:lvl w:ilvl="0" w:tplc="01C67478">
      <w:start w:val="1"/>
      <w:numFmt w:val="decimal"/>
      <w:lvlText w:val="(%1)"/>
      <w:lvlJc w:val="left"/>
      <w:pPr>
        <w:tabs>
          <w:tab w:val="num" w:pos="36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4E6A7DD9"/>
    <w:multiLevelType w:val="hybridMultilevel"/>
    <w:tmpl w:val="3736740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5EC17BF"/>
    <w:multiLevelType w:val="hybridMultilevel"/>
    <w:tmpl w:val="48E4DB6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6304594"/>
    <w:multiLevelType w:val="hybridMultilevel"/>
    <w:tmpl w:val="A04E46BE"/>
    <w:lvl w:ilvl="0" w:tplc="04070015">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5" w15:restartNumberingAfterBreak="0">
    <w:nsid w:val="57534ADB"/>
    <w:multiLevelType w:val="hybridMultilevel"/>
    <w:tmpl w:val="E5D4762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84B06EA"/>
    <w:multiLevelType w:val="hybridMultilevel"/>
    <w:tmpl w:val="0360F04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5DE14868"/>
    <w:multiLevelType w:val="hybridMultilevel"/>
    <w:tmpl w:val="0F604F5A"/>
    <w:lvl w:ilvl="0" w:tplc="E6864BEA">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07115CD"/>
    <w:multiLevelType w:val="hybridMultilevel"/>
    <w:tmpl w:val="06F8B30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1EB4DFE"/>
    <w:multiLevelType w:val="hybridMultilevel"/>
    <w:tmpl w:val="AA66B7BE"/>
    <w:lvl w:ilvl="0" w:tplc="B22CCA2E">
      <w:start w:val="1"/>
      <w:numFmt w:val="decimal"/>
      <w:lvlText w:val="(%1)"/>
      <w:lvlJc w:val="left"/>
      <w:pPr>
        <w:tabs>
          <w:tab w:val="num" w:pos="36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658D2282"/>
    <w:multiLevelType w:val="hybridMultilevel"/>
    <w:tmpl w:val="0A1AE0A6"/>
    <w:lvl w:ilvl="0" w:tplc="D092EF10">
      <w:start w:val="1"/>
      <w:numFmt w:val="decimal"/>
      <w:lvlText w:val="(%1)"/>
      <w:lvlJc w:val="left"/>
      <w:pPr>
        <w:ind w:left="720" w:hanging="360"/>
      </w:pPr>
      <w:rPr>
        <w:strike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6300ED6"/>
    <w:multiLevelType w:val="hybridMultilevel"/>
    <w:tmpl w:val="D95AD798"/>
    <w:lvl w:ilvl="0" w:tplc="F1E6B83C">
      <w:start w:val="1"/>
      <w:numFmt w:val="decimal"/>
      <w:lvlText w:val="(%1)"/>
      <w:lvlJc w:val="left"/>
      <w:pPr>
        <w:tabs>
          <w:tab w:val="num" w:pos="360"/>
        </w:tabs>
        <w:ind w:left="357" w:hanging="357"/>
      </w:pPr>
      <w:rPr>
        <w:rFonts w:hint="default"/>
      </w:rPr>
    </w:lvl>
    <w:lvl w:ilvl="1" w:tplc="778245A4">
      <w:start w:val="1"/>
      <w:numFmt w:val="decimal"/>
      <w:lvlText w:val="(%2)"/>
      <w:lvlJc w:val="left"/>
      <w:pPr>
        <w:tabs>
          <w:tab w:val="num" w:pos="360"/>
        </w:tabs>
        <w:ind w:left="357" w:hanging="357"/>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68E971BD"/>
    <w:multiLevelType w:val="hybridMultilevel"/>
    <w:tmpl w:val="7EB0BCF4"/>
    <w:lvl w:ilvl="0" w:tplc="F9DC2A8E">
      <w:start w:val="1"/>
      <w:numFmt w:val="decimal"/>
      <w:lvlText w:val="(%1)"/>
      <w:lvlJc w:val="left"/>
      <w:pPr>
        <w:tabs>
          <w:tab w:val="num" w:pos="360"/>
        </w:tabs>
        <w:ind w:left="357" w:hanging="357"/>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15:restartNumberingAfterBreak="0">
    <w:nsid w:val="6BAD1ACC"/>
    <w:multiLevelType w:val="hybridMultilevel"/>
    <w:tmpl w:val="85DA5CEA"/>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FCD6C79"/>
    <w:multiLevelType w:val="hybridMultilevel"/>
    <w:tmpl w:val="6994B12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27D6F4C"/>
    <w:multiLevelType w:val="hybridMultilevel"/>
    <w:tmpl w:val="FA8A4D26"/>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6" w15:restartNumberingAfterBreak="0">
    <w:nsid w:val="76C00610"/>
    <w:multiLevelType w:val="hybridMultilevel"/>
    <w:tmpl w:val="4888E69A"/>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A364737"/>
    <w:multiLevelType w:val="hybridMultilevel"/>
    <w:tmpl w:val="1A5EF6FC"/>
    <w:lvl w:ilvl="0" w:tplc="E53A8B3C">
      <w:start w:val="1"/>
      <w:numFmt w:val="upperRoman"/>
      <w:pStyle w:val="berschrift2"/>
      <w:lvlText w:val="%1."/>
      <w:lvlJc w:val="righ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8"/>
  </w:num>
  <w:num w:numId="2">
    <w:abstractNumId w:val="9"/>
  </w:num>
  <w:num w:numId="3">
    <w:abstractNumId w:val="31"/>
  </w:num>
  <w:num w:numId="4">
    <w:abstractNumId w:val="41"/>
  </w:num>
  <w:num w:numId="5">
    <w:abstractNumId w:val="29"/>
  </w:num>
  <w:num w:numId="6">
    <w:abstractNumId w:val="28"/>
  </w:num>
  <w:num w:numId="7">
    <w:abstractNumId w:val="39"/>
  </w:num>
  <w:num w:numId="8">
    <w:abstractNumId w:val="2"/>
  </w:num>
  <w:num w:numId="9">
    <w:abstractNumId w:val="27"/>
  </w:num>
  <w:num w:numId="10">
    <w:abstractNumId w:val="47"/>
  </w:num>
  <w:num w:numId="11">
    <w:abstractNumId w:val="17"/>
  </w:num>
  <w:num w:numId="12">
    <w:abstractNumId w:val="8"/>
  </w:num>
  <w:num w:numId="13">
    <w:abstractNumId w:val="38"/>
  </w:num>
  <w:num w:numId="14">
    <w:abstractNumId w:val="4"/>
  </w:num>
  <w:num w:numId="15">
    <w:abstractNumId w:val="43"/>
  </w:num>
  <w:num w:numId="16">
    <w:abstractNumId w:val="33"/>
  </w:num>
  <w:num w:numId="17">
    <w:abstractNumId w:val="1"/>
  </w:num>
  <w:num w:numId="18">
    <w:abstractNumId w:val="10"/>
  </w:num>
  <w:num w:numId="19">
    <w:abstractNumId w:val="42"/>
  </w:num>
  <w:num w:numId="20">
    <w:abstractNumId w:val="0"/>
  </w:num>
  <w:num w:numId="21">
    <w:abstractNumId w:val="24"/>
  </w:num>
  <w:num w:numId="22">
    <w:abstractNumId w:val="7"/>
  </w:num>
  <w:num w:numId="23">
    <w:abstractNumId w:val="36"/>
  </w:num>
  <w:num w:numId="24">
    <w:abstractNumId w:val="32"/>
  </w:num>
  <w:num w:numId="25">
    <w:abstractNumId w:val="13"/>
  </w:num>
  <w:num w:numId="26">
    <w:abstractNumId w:val="40"/>
  </w:num>
  <w:num w:numId="27">
    <w:abstractNumId w:val="23"/>
  </w:num>
  <w:num w:numId="28">
    <w:abstractNumId w:val="46"/>
  </w:num>
  <w:num w:numId="29">
    <w:abstractNumId w:val="12"/>
  </w:num>
  <w:num w:numId="30">
    <w:abstractNumId w:val="11"/>
  </w:num>
  <w:num w:numId="31">
    <w:abstractNumId w:val="26"/>
  </w:num>
  <w:num w:numId="32">
    <w:abstractNumId w:val="37"/>
  </w:num>
  <w:num w:numId="33">
    <w:abstractNumId w:val="14"/>
  </w:num>
  <w:num w:numId="34">
    <w:abstractNumId w:val="5"/>
  </w:num>
  <w:num w:numId="35">
    <w:abstractNumId w:val="16"/>
  </w:num>
  <w:num w:numId="36">
    <w:abstractNumId w:val="21"/>
  </w:num>
  <w:num w:numId="37">
    <w:abstractNumId w:val="22"/>
  </w:num>
  <w:num w:numId="38">
    <w:abstractNumId w:val="20"/>
  </w:num>
  <w:num w:numId="39">
    <w:abstractNumId w:val="6"/>
  </w:num>
  <w:num w:numId="40">
    <w:abstractNumId w:val="45"/>
  </w:num>
  <w:num w:numId="41">
    <w:abstractNumId w:val="30"/>
  </w:num>
  <w:num w:numId="42">
    <w:abstractNumId w:val="15"/>
  </w:num>
  <w:num w:numId="43">
    <w:abstractNumId w:val="34"/>
  </w:num>
  <w:num w:numId="44">
    <w:abstractNumId w:val="25"/>
  </w:num>
  <w:num w:numId="45">
    <w:abstractNumId w:val="44"/>
  </w:num>
  <w:num w:numId="46">
    <w:abstractNumId w:val="19"/>
  </w:num>
  <w:num w:numId="47">
    <w:abstractNumId w:val="3"/>
  </w:num>
  <w:num w:numId="48">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spinCount="100000" w:hashValue="ZqOCZ/le1QKf6gpE4e3oUnf84mRLrGgskoXj9wipg0jhNW+WMDZf1/jyrzt6FWgMxbt9DDzblxnDV6ydkuwJYg==" w:saltValue="w+McvIEZh3m8Ku0TVWYiag==" w:algorithmName="SHA-51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61E33F0-901E-433D-8627-BC9EDD44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20" w:line="360" w:lineRule="auto"/>
      <w:contextualSpacing/>
    </w:pPr>
    <w:rPr>
      <w:rFonts w:ascii="Arial" w:hAnsi="Arial" w:cs="Arial"/>
    </w:rPr>
  </w:style>
  <w:style w:type="paragraph" w:styleId="berschrift1">
    <w:name w:val="heading 1"/>
    <w:basedOn w:val="Standard"/>
    <w:next w:val="Standard"/>
    <w:link w:val="berschrift1Zchn"/>
    <w:uiPriority w:val="9"/>
    <w:qFormat/>
    <w:pPr>
      <w:keepNext/>
      <w:keepLines/>
      <w:numPr>
        <w:numId w:val="1"/>
      </w:numPr>
      <w:overflowPunct w:val="0"/>
      <w:autoSpaceDE w:val="0"/>
      <w:autoSpaceDN w:val="0"/>
      <w:adjustRightInd w:val="0"/>
      <w:spacing w:before="240" w:after="0"/>
      <w:textAlignment w:val="baseline"/>
      <w:outlineLvl w:val="0"/>
    </w:pPr>
    <w:rPr>
      <w:rFonts w:eastAsiaTheme="majorEastAsia"/>
      <w:b/>
      <w:color w:val="000000" w:themeColor="text1"/>
      <w:szCs w:val="32"/>
      <w:lang w:eastAsia="de-DE"/>
    </w:rPr>
  </w:style>
  <w:style w:type="paragraph" w:styleId="berschrift2">
    <w:name w:val="heading 2"/>
    <w:basedOn w:val="Standard"/>
    <w:next w:val="Standard"/>
    <w:link w:val="berschrift2Zchn"/>
    <w:uiPriority w:val="9"/>
    <w:unhideWhenUsed/>
    <w:qFormat/>
    <w:pPr>
      <w:keepNext/>
      <w:keepLines/>
      <w:numPr>
        <w:numId w:val="10"/>
      </w:numPr>
      <w:spacing w:before="40" w:after="0"/>
      <w:outlineLvl w:val="1"/>
    </w:pPr>
    <w:rPr>
      <w:rFonts w:eastAsiaTheme="majorEastAsia"/>
      <w:b/>
      <w:color w:val="000000" w:themeColor="text1"/>
      <w:szCs w:val="26"/>
    </w:rPr>
  </w:style>
  <w:style w:type="paragraph" w:styleId="berschrift3">
    <w:name w:val="heading 3"/>
    <w:basedOn w:val="Standard"/>
    <w:next w:val="Standard"/>
    <w:link w:val="berschrift3Zchn"/>
    <w:uiPriority w:val="9"/>
    <w:unhideWhenUsed/>
    <w:qFormat/>
    <w:pPr>
      <w:keepNext/>
      <w:keepLines/>
      <w:numPr>
        <w:numId w:val="2"/>
      </w:numPr>
      <w:spacing w:before="40" w:after="0"/>
      <w:outlineLvl w:val="2"/>
    </w:pPr>
    <w:rPr>
      <w:rFonts w:eastAsiaTheme="majorEastAsia"/>
      <w:color w:val="000000" w:themeColor="text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Theme="majorEastAsia" w:hAnsi="Arial" w:cs="Arial"/>
      <w:b/>
      <w:color w:val="000000" w:themeColor="text1"/>
      <w:szCs w:val="32"/>
      <w:lang w:eastAsia="de-D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Titel">
    <w:name w:val="Title"/>
    <w:basedOn w:val="Standard"/>
    <w:next w:val="Standard"/>
    <w:link w:val="TitelZchn"/>
    <w:qFormat/>
    <w:pPr>
      <w:spacing w:after="0" w:line="240" w:lineRule="auto"/>
      <w:jc w:val="center"/>
    </w:pPr>
    <w:rPr>
      <w:rFonts w:ascii="Arial Fett" w:eastAsiaTheme="majorEastAsia" w:hAnsi="Arial Fett"/>
      <w:b/>
      <w:kern w:val="28"/>
      <w:sz w:val="24"/>
      <w:szCs w:val="24"/>
    </w:rPr>
  </w:style>
  <w:style w:type="character" w:customStyle="1" w:styleId="TitelZchn">
    <w:name w:val="Titel Zchn"/>
    <w:basedOn w:val="Absatz-Standardschriftart"/>
    <w:link w:val="Titel"/>
    <w:rPr>
      <w:rFonts w:ascii="Arial Fett" w:eastAsiaTheme="majorEastAsia" w:hAnsi="Arial Fett" w:cs="Arial"/>
      <w:b/>
      <w:kern w:val="28"/>
      <w:sz w:val="24"/>
      <w:szCs w:val="24"/>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Pr>
      <w:rFonts w:ascii="Arial" w:eastAsiaTheme="majorEastAsia" w:hAnsi="Arial" w:cs="Arial"/>
      <w:b/>
      <w:color w:val="000000" w:themeColor="text1"/>
      <w:szCs w:val="26"/>
    </w:rPr>
  </w:style>
  <w:style w:type="paragraph" w:styleId="Kommentartext">
    <w:name w:val="annotation text"/>
    <w:basedOn w:val="Standard"/>
    <w:link w:val="KommentartextZchn"/>
    <w:uiPriority w:val="99"/>
    <w:unhideWhenUsed/>
    <w:qFormat/>
    <w:pPr>
      <w:overflowPunct w:val="0"/>
      <w:autoSpaceDE w:val="0"/>
      <w:autoSpaceDN w:val="0"/>
      <w:adjustRightInd w:val="0"/>
      <w:spacing w:after="0"/>
      <w:contextualSpacing w:val="0"/>
      <w:jc w:val="both"/>
      <w:textAlignment w:val="baseline"/>
    </w:pPr>
    <w:rPr>
      <w:rFonts w:eastAsia="Times New Roman" w:cs="Times New Roman"/>
      <w:lang w:eastAsia="de-DE"/>
    </w:rPr>
  </w:style>
  <w:style w:type="character" w:customStyle="1" w:styleId="KommentartextZchn">
    <w:name w:val="Kommentartext Zchn"/>
    <w:basedOn w:val="Absatz-Standardschriftart"/>
    <w:link w:val="Kommentartext"/>
    <w:uiPriority w:val="99"/>
    <w:qFormat/>
    <w:rPr>
      <w:rFonts w:ascii="Arial" w:eastAsia="Times New Roman" w:hAnsi="Arial" w:cs="Times New Roman"/>
      <w:lang w:eastAsia="de-DE"/>
    </w:rPr>
  </w:style>
  <w:style w:type="paragraph" w:styleId="Listenabsatz">
    <w:name w:val="List Paragraph"/>
    <w:basedOn w:val="Standard"/>
    <w:link w:val="ListenabsatzZchn"/>
    <w:uiPriority w:val="34"/>
    <w:qFormat/>
    <w:pPr>
      <w:ind w:left="720"/>
    </w:pPr>
  </w:style>
  <w:style w:type="paragraph" w:customStyle="1" w:styleId="Hinweis-berschrift">
    <w:name w:val="Hinweis-Überschrift"/>
    <w:basedOn w:val="Standard"/>
    <w:qFormat/>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val="0"/>
    </w:pPr>
    <w:rPr>
      <w:b/>
      <w:bCs/>
      <w:i/>
      <w:iCs/>
      <w:color w:val="000000"/>
      <w:sz w:val="18"/>
      <w:szCs w:val="18"/>
    </w:rPr>
  </w:style>
  <w:style w:type="paragraph" w:customStyle="1" w:styleId="Hinweise-Text">
    <w:name w:val="Hinweise - Text"/>
    <w:basedOn w:val="Standard"/>
    <w:qFormat/>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contextualSpacing w:val="0"/>
      <w:jc w:val="both"/>
      <w:textAlignment w:val="baseline"/>
    </w:pPr>
    <w:rPr>
      <w:rFonts w:eastAsia="Times New Roman" w:cs="Times New Roman"/>
      <w:i/>
      <w:sz w:val="18"/>
      <w:szCs w:val="18"/>
      <w:lang w:eastAsia="de-DE"/>
    </w:rPr>
  </w:style>
  <w:style w:type="character" w:customStyle="1" w:styleId="berschrift3Zchn">
    <w:name w:val="Überschrift 3 Zchn"/>
    <w:basedOn w:val="Absatz-Standardschriftart"/>
    <w:link w:val="berschrift3"/>
    <w:uiPriority w:val="9"/>
    <w:rPr>
      <w:rFonts w:ascii="Arial" w:eastAsiaTheme="majorEastAsia" w:hAnsi="Arial" w:cs="Arial"/>
      <w:color w:val="000000" w:themeColor="text1"/>
      <w:lang w:eastAsia="de-DE"/>
    </w:rPr>
  </w:style>
  <w:style w:type="paragraph" w:styleId="Textkrper-Einzug2">
    <w:name w:val="Body Text Indent 2"/>
    <w:basedOn w:val="Standard"/>
    <w:link w:val="Textkrper-Einzug2Zchn"/>
    <w:pPr>
      <w:spacing w:after="0" w:line="240" w:lineRule="auto"/>
      <w:ind w:left="360"/>
      <w:contextualSpacing w:val="0"/>
      <w:jc w:val="both"/>
    </w:pPr>
    <w:rPr>
      <w:rFonts w:eastAsia="Times New Roman"/>
      <w:sz w:val="24"/>
      <w:szCs w:val="24"/>
      <w:lang w:eastAsia="de-DE"/>
    </w:rPr>
  </w:style>
  <w:style w:type="character" w:customStyle="1" w:styleId="Textkrper-Einzug2Zchn">
    <w:name w:val="Textkörper-Einzug 2 Zchn"/>
    <w:basedOn w:val="Absatz-Standardschriftart"/>
    <w:link w:val="Textkrper-Einzug2"/>
    <w:rPr>
      <w:rFonts w:ascii="Arial" w:eastAsia="Times New Roman" w:hAnsi="Arial" w:cs="Arial"/>
      <w:sz w:val="24"/>
      <w:szCs w:val="24"/>
      <w:lang w:eastAsia="de-DE"/>
    </w:rPr>
  </w:style>
  <w:style w:type="character" w:styleId="Buchtitel">
    <w:name w:val="Book Title"/>
    <w:basedOn w:val="Absatz-Standardschriftart"/>
    <w:uiPriority w:val="33"/>
    <w:qFormat/>
    <w:rPr>
      <w:b/>
      <w:bCs/>
      <w:i/>
      <w:iCs/>
      <w:spacing w:val="5"/>
    </w:rPr>
  </w:style>
  <w:style w:type="table" w:styleId="Gitternetztabelle4Akzent1">
    <w:name w:val="Grid Table 4 Accent 1"/>
    <w:basedOn w:val="NormaleTabelle"/>
    <w:uiPriority w:val="49"/>
    <w:pPr>
      <w:spacing w:after="0" w:line="240" w:lineRule="auto"/>
    </w:pPr>
    <w:rPr>
      <w:rFonts w:ascii="Times New Roman" w:eastAsia="Times New Roman" w:hAnsi="Times New Roman" w:cs="Times New Roman"/>
      <w:sz w:val="20"/>
      <w:szCs w:val="20"/>
      <w:lang w:eastAsia="de-D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pPr>
      <w:overflowPunct/>
      <w:autoSpaceDE/>
      <w:autoSpaceDN/>
      <w:adjustRightInd/>
      <w:spacing w:after="120" w:line="240" w:lineRule="auto"/>
      <w:contextualSpacing/>
      <w:jc w:val="left"/>
      <w:textAlignment w:val="auto"/>
    </w:pPr>
    <w:rPr>
      <w:rFonts w:eastAsiaTheme="minorHAnsi" w:cs="Arial"/>
      <w:b/>
      <w:bCs/>
      <w:sz w:val="20"/>
      <w:szCs w:val="20"/>
      <w:lang w:eastAsia="en-US"/>
    </w:rPr>
  </w:style>
  <w:style w:type="character" w:customStyle="1" w:styleId="KommentarthemaZchn">
    <w:name w:val="Kommentarthema Zchn"/>
    <w:basedOn w:val="KommentartextZchn"/>
    <w:link w:val="Kommentarthema"/>
    <w:uiPriority w:val="99"/>
    <w:semiHidden/>
    <w:rPr>
      <w:rFonts w:ascii="Arial" w:eastAsia="Times New Roman" w:hAnsi="Arial" w:cs="Arial"/>
      <w:b/>
      <w:bCs/>
      <w:sz w:val="20"/>
      <w:szCs w:val="20"/>
      <w:lang w:eastAsia="de-DE"/>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Funotentext">
    <w:name w:val="footnote text"/>
    <w:basedOn w:val="Standard"/>
    <w:link w:val="FunotentextZchn"/>
    <w:uiPriority w:val="99"/>
    <w:unhideWhenUsed/>
    <w:pPr>
      <w:overflowPunct w:val="0"/>
      <w:autoSpaceDE w:val="0"/>
      <w:autoSpaceDN w:val="0"/>
      <w:adjustRightInd w:val="0"/>
      <w:spacing w:after="0" w:line="240" w:lineRule="auto"/>
      <w:contextualSpacing w:val="0"/>
      <w:textAlignment w:val="baseline"/>
    </w:pPr>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rPr>
      <w:rFonts w:ascii="Arial" w:eastAsia="Times New Roman" w:hAnsi="Arial" w:cs="Times New Roman"/>
      <w:sz w:val="20"/>
      <w:szCs w:val="20"/>
      <w:lang w:eastAsia="de-DE"/>
    </w:rPr>
  </w:style>
  <w:style w:type="paragraph" w:customStyle="1" w:styleId="Box1">
    <w:name w:val="Box1"/>
    <w:basedOn w:val="Standard"/>
    <w:qFormat/>
    <w:pPr>
      <w:widowControl w:val="0"/>
      <w:tabs>
        <w:tab w:val="left" w:pos="709"/>
      </w:tabs>
      <w:spacing w:after="60" w:line="240" w:lineRule="atLeast"/>
      <w:ind w:left="709" w:hanging="709"/>
      <w:contextualSpacing w:val="0"/>
    </w:pPr>
    <w:rPr>
      <w:rFonts w:eastAsia="Times New Roman" w:cs="Times New Roman"/>
      <w:sz w:val="18"/>
      <w:szCs w:val="20"/>
      <w:lang w:eastAsia="de-DE"/>
    </w:rPr>
  </w:style>
  <w:style w:type="paragraph" w:customStyle="1" w:styleId="Box2">
    <w:name w:val="Box2"/>
    <w:basedOn w:val="Standard"/>
    <w:qFormat/>
    <w:pPr>
      <w:widowControl w:val="0"/>
      <w:spacing w:after="60" w:line="240" w:lineRule="atLeast"/>
      <w:ind w:left="1418" w:hanging="709"/>
      <w:contextualSpacing w:val="0"/>
    </w:pPr>
    <w:rPr>
      <w:rFonts w:eastAsia="Times New Roman" w:cs="Times New Roman"/>
      <w:sz w:val="18"/>
      <w:szCs w:val="20"/>
      <w:lang w:eastAsia="de-DE"/>
    </w:rPr>
  </w:style>
  <w:style w:type="character" w:customStyle="1" w:styleId="ListenabsatzZchn">
    <w:name w:val="Listenabsatz Zchn"/>
    <w:link w:val="Listenabsatz"/>
    <w:uiPriority w:val="34"/>
    <w:locked/>
    <w:rPr>
      <w:rFonts w:ascii="Arial" w:hAnsi="Arial" w:cs="Arial"/>
    </w:rPr>
  </w:style>
  <w:style w:type="paragraph" w:styleId="berarbeitung">
    <w:name w:val="Revision"/>
    <w:hidden/>
    <w:uiPriority w:val="99"/>
    <w:semiHidden/>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0CF06-DB7E-435E-AA5B-5C4EED107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3726</Words>
  <Characters>23481</Characters>
  <Application>Microsoft Office Word</Application>
  <DocSecurity>0</DocSecurity>
  <Lines>195</Lines>
  <Paragraphs>54</Paragraphs>
  <ScaleCrop>false</ScaleCrop>
  <HeadingPairs>
    <vt:vector size="2" baseType="variant">
      <vt:variant>
        <vt:lpstr>Titel</vt:lpstr>
      </vt:variant>
      <vt:variant>
        <vt:i4>1</vt:i4>
      </vt:variant>
    </vt:vector>
  </HeadingPairs>
  <TitlesOfParts>
    <vt:vector size="1" baseType="lpstr">
      <vt:lpstr/>
    </vt:vector>
  </TitlesOfParts>
  <Company>Thüringer Justiz</Company>
  <LinksUpToDate>false</LinksUpToDate>
  <CharactersWithSpaces>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Kühnemann</dc:creator>
  <cp:keywords/>
  <dc:description/>
  <cp:lastModifiedBy>THOLG Richter, Linda</cp:lastModifiedBy>
  <cp:revision>6</cp:revision>
  <dcterms:created xsi:type="dcterms:W3CDTF">2026-03-02T11:38:00Z</dcterms:created>
  <dcterms:modified xsi:type="dcterms:W3CDTF">2026-03-03T09:24:00Z</dcterms:modified>
</cp:coreProperties>
</file>