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FDC8" w14:textId="509E78E1" w:rsidR="008A6569" w:rsidRPr="0006784F" w:rsidRDefault="008A6569" w:rsidP="0006784F">
      <w:pPr>
        <w:pStyle w:val="berschrift1"/>
      </w:pPr>
      <w:r>
        <w:t xml:space="preserve">Anlage 2 – Regelwerke </w:t>
      </w:r>
      <w:r w:rsidR="009E50CF">
        <w:t>(nicht abschließend)</w:t>
      </w:r>
    </w:p>
    <w:p w14:paraId="74422F66" w14:textId="7ED0564B" w:rsidR="00097D0F" w:rsidRPr="0006784F" w:rsidRDefault="00097D0F" w:rsidP="0006784F">
      <w:pPr>
        <w:jc w:val="both"/>
        <w:rPr>
          <w:rFonts w:ascii="Arial" w:hAnsi="Arial" w:cs="Arial"/>
        </w:rPr>
      </w:pPr>
      <w:r w:rsidRPr="0006784F">
        <w:rPr>
          <w:rFonts w:ascii="Arial" w:hAnsi="Arial" w:cs="Arial"/>
        </w:rPr>
        <w:t>Im Rahmen der Pilotierung und zur Vorbereitung von Entwicklung und Bau der Munitionsentsorgungsanlage wurde bereits ein breites Spektrum an relevanten Regelwerken ausgemacht und eine Vielzahl von Rechtsfragen zumindest vorläufig geklärt. Im Folgenden eine nicht abschließende Übersicht über Regelwerke und Rechtsfragen.</w:t>
      </w:r>
    </w:p>
    <w:p w14:paraId="26FEB275" w14:textId="77777777" w:rsidR="00FE1FCE" w:rsidRPr="008C013D" w:rsidRDefault="00FE1FCE" w:rsidP="00FE1FCE">
      <w:pPr>
        <w:jc w:val="both"/>
        <w:rPr>
          <w:rFonts w:ascii="Arial" w:hAnsi="Arial" w:cs="Arial"/>
          <w:b/>
          <w:bCs/>
        </w:rPr>
      </w:pPr>
      <w:r w:rsidRPr="008C013D">
        <w:rPr>
          <w:rFonts w:ascii="Arial" w:hAnsi="Arial" w:cs="Arial"/>
          <w:b/>
          <w:bCs/>
        </w:rPr>
        <w:t xml:space="preserve">Räumstelle inkl. Nasslager: </w:t>
      </w:r>
    </w:p>
    <w:p w14:paraId="14110AB3" w14:textId="77777777" w:rsidR="00FE1FCE" w:rsidRPr="008C013D" w:rsidRDefault="00FE1FCE" w:rsidP="00FE1FCE">
      <w:pPr>
        <w:numPr>
          <w:ilvl w:val="0"/>
          <w:numId w:val="2"/>
        </w:numPr>
        <w:jc w:val="both"/>
        <w:rPr>
          <w:rFonts w:ascii="Arial" w:hAnsi="Arial" w:cs="Arial"/>
        </w:rPr>
      </w:pPr>
      <w:r w:rsidRPr="008C013D">
        <w:rPr>
          <w:rFonts w:ascii="Arial" w:hAnsi="Arial" w:cs="Arial"/>
        </w:rPr>
        <w:t>Vorprüfung der Umweltverträglichkeit: uA UVPG, BNatSchG, WHG</w:t>
      </w:r>
    </w:p>
    <w:p w14:paraId="6CD4207C" w14:textId="77777777" w:rsidR="00FE1FCE" w:rsidRPr="008C013D" w:rsidRDefault="00FE1FCE" w:rsidP="00FE1FCE">
      <w:pPr>
        <w:numPr>
          <w:ilvl w:val="0"/>
          <w:numId w:val="2"/>
        </w:numPr>
        <w:jc w:val="both"/>
        <w:rPr>
          <w:rFonts w:ascii="Arial" w:hAnsi="Arial" w:cs="Arial"/>
        </w:rPr>
      </w:pPr>
      <w:r w:rsidRPr="008C013D">
        <w:rPr>
          <w:rFonts w:ascii="Arial" w:hAnsi="Arial" w:cs="Arial"/>
        </w:rPr>
        <w:t>Kampfmittel-Räumkonzept: uA SprengG, KampfMV M-V</w:t>
      </w:r>
    </w:p>
    <w:p w14:paraId="20EF1C60" w14:textId="77777777" w:rsidR="00FE1FCE" w:rsidRPr="008C013D" w:rsidRDefault="00FE1FCE" w:rsidP="00FE1FCE">
      <w:pPr>
        <w:numPr>
          <w:ilvl w:val="0"/>
          <w:numId w:val="2"/>
        </w:numPr>
        <w:jc w:val="both"/>
        <w:rPr>
          <w:rFonts w:ascii="Arial" w:hAnsi="Arial" w:cs="Arial"/>
        </w:rPr>
      </w:pPr>
      <w:r w:rsidRPr="008C013D">
        <w:rPr>
          <w:rFonts w:ascii="Arial" w:hAnsi="Arial" w:cs="Arial"/>
        </w:rPr>
        <w:t>Arbeits- und Sicherheitsplan inkl. Rettungskonzept: uA ArbSchG, GefStoffV, BauStellV, SprengG</w:t>
      </w:r>
    </w:p>
    <w:p w14:paraId="102054F0" w14:textId="77777777" w:rsidR="00FE1FCE" w:rsidRPr="008C013D" w:rsidRDefault="00FE1FCE" w:rsidP="00FE1FCE">
      <w:pPr>
        <w:numPr>
          <w:ilvl w:val="0"/>
          <w:numId w:val="2"/>
        </w:numPr>
        <w:jc w:val="both"/>
        <w:rPr>
          <w:rFonts w:ascii="Arial" w:hAnsi="Arial" w:cs="Arial"/>
        </w:rPr>
      </w:pPr>
      <w:r w:rsidRPr="008C013D">
        <w:rPr>
          <w:rFonts w:ascii="Arial" w:hAnsi="Arial" w:cs="Arial"/>
        </w:rPr>
        <w:t>Strom- und Schifffahrtspolizeiliche Genehmigung: uA WaStrG</w:t>
      </w:r>
    </w:p>
    <w:p w14:paraId="4367284B" w14:textId="77777777" w:rsidR="00FE1FCE" w:rsidRPr="008C013D" w:rsidRDefault="00FE1FCE" w:rsidP="00FE1FCE">
      <w:pPr>
        <w:numPr>
          <w:ilvl w:val="0"/>
          <w:numId w:val="6"/>
        </w:numPr>
        <w:jc w:val="both"/>
        <w:rPr>
          <w:rFonts w:ascii="Arial" w:hAnsi="Arial" w:cs="Arial"/>
        </w:rPr>
      </w:pPr>
      <w:r w:rsidRPr="008C013D">
        <w:rPr>
          <w:rFonts w:ascii="Arial" w:hAnsi="Arial" w:cs="Arial"/>
        </w:rPr>
        <w:t>Vorankündigung gemäß § 2 BaustellV (in Prüfung)</w:t>
      </w:r>
    </w:p>
    <w:p w14:paraId="6781AC6C" w14:textId="77777777" w:rsidR="00FE1FCE" w:rsidRPr="008C013D" w:rsidRDefault="00FE1FCE" w:rsidP="00FE1FCE">
      <w:pPr>
        <w:numPr>
          <w:ilvl w:val="0"/>
          <w:numId w:val="5"/>
        </w:numPr>
        <w:jc w:val="both"/>
        <w:rPr>
          <w:rFonts w:ascii="Arial" w:hAnsi="Arial" w:cs="Arial"/>
        </w:rPr>
      </w:pPr>
      <w:r w:rsidRPr="008C013D">
        <w:rPr>
          <w:rFonts w:ascii="Arial" w:hAnsi="Arial" w:cs="Arial"/>
        </w:rPr>
        <w:t>Einrichtung der Räumstelle / Baustelle</w:t>
      </w:r>
    </w:p>
    <w:p w14:paraId="74C089A4" w14:textId="77777777" w:rsidR="00FE1FCE" w:rsidRPr="008C013D" w:rsidRDefault="00FE1FCE" w:rsidP="00FE1FCE">
      <w:pPr>
        <w:numPr>
          <w:ilvl w:val="0"/>
          <w:numId w:val="5"/>
        </w:numPr>
        <w:jc w:val="both"/>
        <w:rPr>
          <w:rFonts w:ascii="Arial" w:hAnsi="Arial" w:cs="Arial"/>
        </w:rPr>
      </w:pPr>
      <w:r w:rsidRPr="008C013D">
        <w:rPr>
          <w:rFonts w:ascii="Arial" w:hAnsi="Arial" w:cs="Arial"/>
        </w:rPr>
        <w:t>Anzeige vor der Aufnahme von Tätigkeiten an der Räumstelle gemäß § 14 SprengG</w:t>
      </w:r>
    </w:p>
    <w:p w14:paraId="196D53B0" w14:textId="77777777" w:rsidR="00FE1FCE" w:rsidRPr="008C013D" w:rsidRDefault="00FE1FCE" w:rsidP="00FE1FCE">
      <w:pPr>
        <w:numPr>
          <w:ilvl w:val="0"/>
          <w:numId w:val="4"/>
        </w:numPr>
        <w:jc w:val="both"/>
        <w:rPr>
          <w:rFonts w:ascii="Arial" w:hAnsi="Arial" w:cs="Arial"/>
        </w:rPr>
      </w:pPr>
      <w:r w:rsidRPr="008C013D">
        <w:rPr>
          <w:rFonts w:ascii="Arial" w:hAnsi="Arial" w:cs="Arial"/>
          <w:iCs/>
        </w:rPr>
        <w:t>Verlagerung</w:t>
      </w:r>
      <w:r w:rsidRPr="008C013D">
        <w:rPr>
          <w:rFonts w:ascii="Arial" w:hAnsi="Arial" w:cs="Arial"/>
        </w:rPr>
        <w:t xml:space="preserve"> von Munitionsaltlasten an der Räumstelle (Beachtung des Wasserrechts notwendig)</w:t>
      </w:r>
    </w:p>
    <w:p w14:paraId="12304B33" w14:textId="77777777" w:rsidR="00FE1FCE" w:rsidRPr="008C013D" w:rsidRDefault="00FE1FCE" w:rsidP="00FE1FCE">
      <w:pPr>
        <w:numPr>
          <w:ilvl w:val="0"/>
          <w:numId w:val="4"/>
        </w:numPr>
        <w:jc w:val="both"/>
        <w:rPr>
          <w:rFonts w:ascii="Arial" w:hAnsi="Arial" w:cs="Arial"/>
        </w:rPr>
      </w:pPr>
      <w:r w:rsidRPr="008C013D">
        <w:rPr>
          <w:rFonts w:ascii="Arial" w:hAnsi="Arial" w:cs="Arial"/>
          <w:iCs/>
        </w:rPr>
        <w:t>Temporäre Verlagerung der Munitionsaltlasten über Wasser (z.B. zum Sichten/Sortieren) und Wiedereinbringung unter Wasser</w:t>
      </w:r>
    </w:p>
    <w:p w14:paraId="61C1A935" w14:textId="77777777" w:rsidR="00FE1FCE" w:rsidRPr="008C013D" w:rsidRDefault="00FE1FCE" w:rsidP="00FE1FCE">
      <w:pPr>
        <w:numPr>
          <w:ilvl w:val="0"/>
          <w:numId w:val="4"/>
        </w:numPr>
        <w:jc w:val="both"/>
        <w:rPr>
          <w:rFonts w:ascii="Arial" w:hAnsi="Arial" w:cs="Arial"/>
        </w:rPr>
      </w:pPr>
      <w:r w:rsidRPr="008C013D">
        <w:rPr>
          <w:rFonts w:ascii="Arial" w:hAnsi="Arial" w:cs="Arial"/>
          <w:iCs/>
        </w:rPr>
        <w:t>Einrichtung / Überwachung von Nasslagern / Unterwasserbereitstellungsflächen</w:t>
      </w:r>
    </w:p>
    <w:p w14:paraId="5D85539C" w14:textId="77777777" w:rsidR="00FE1FCE" w:rsidRPr="008C013D" w:rsidRDefault="00FE1FCE" w:rsidP="00FE1FCE">
      <w:pPr>
        <w:numPr>
          <w:ilvl w:val="0"/>
          <w:numId w:val="4"/>
        </w:numPr>
        <w:jc w:val="both"/>
        <w:rPr>
          <w:rFonts w:ascii="Arial" w:hAnsi="Arial" w:cs="Arial"/>
        </w:rPr>
      </w:pPr>
      <w:r w:rsidRPr="008C013D">
        <w:rPr>
          <w:rFonts w:ascii="Arial" w:hAnsi="Arial" w:cs="Arial"/>
        </w:rPr>
        <w:t xml:space="preserve">Lagergenehmigung für das </w:t>
      </w:r>
      <w:r w:rsidRPr="008C013D">
        <w:rPr>
          <w:rFonts w:ascii="Arial" w:hAnsi="Arial" w:cs="Arial"/>
          <w:iCs/>
        </w:rPr>
        <w:t>Nasslager</w:t>
      </w:r>
      <w:r w:rsidRPr="008C013D">
        <w:rPr>
          <w:rFonts w:ascii="Arial" w:hAnsi="Arial" w:cs="Arial"/>
        </w:rPr>
        <w:t>, insbesondere Betrieb des Nasslagers oder auch Betreiberin des Nasslagers</w:t>
      </w:r>
    </w:p>
    <w:p w14:paraId="5EE55D17" w14:textId="77777777" w:rsidR="00FE1FCE" w:rsidRPr="008C013D" w:rsidRDefault="00FE1FCE" w:rsidP="00FE1FCE">
      <w:pPr>
        <w:numPr>
          <w:ilvl w:val="0"/>
          <w:numId w:val="4"/>
        </w:numPr>
        <w:jc w:val="both"/>
        <w:rPr>
          <w:rFonts w:ascii="Arial" w:hAnsi="Arial" w:cs="Arial"/>
        </w:rPr>
      </w:pPr>
      <w:r w:rsidRPr="008C013D">
        <w:rPr>
          <w:rFonts w:ascii="Arial" w:hAnsi="Arial" w:cs="Arial"/>
        </w:rPr>
        <w:t>Anzeige nach § 14 und Prüfung der Erfordernis einer Lagergenehmigung nach § 17 SprengG</w:t>
      </w:r>
    </w:p>
    <w:p w14:paraId="203117E5" w14:textId="77777777" w:rsidR="00FE1FCE" w:rsidRPr="008C013D" w:rsidRDefault="00FE1FCE" w:rsidP="00FE1FCE">
      <w:pPr>
        <w:jc w:val="both"/>
        <w:rPr>
          <w:rFonts w:ascii="Arial" w:hAnsi="Arial" w:cs="Arial"/>
          <w:b/>
          <w:bCs/>
        </w:rPr>
      </w:pPr>
      <w:r w:rsidRPr="008C013D">
        <w:rPr>
          <w:rFonts w:ascii="Arial" w:hAnsi="Arial" w:cs="Arial"/>
          <w:b/>
          <w:bCs/>
        </w:rPr>
        <w:t>Munitionstransport</w:t>
      </w:r>
    </w:p>
    <w:p w14:paraId="237831C3" w14:textId="77777777" w:rsidR="00D9649E" w:rsidRPr="008C013D" w:rsidRDefault="00FE1FCE" w:rsidP="00FE1FCE">
      <w:pPr>
        <w:numPr>
          <w:ilvl w:val="0"/>
          <w:numId w:val="4"/>
        </w:numPr>
        <w:jc w:val="both"/>
        <w:rPr>
          <w:rFonts w:ascii="Arial" w:hAnsi="Arial" w:cs="Arial"/>
        </w:rPr>
      </w:pPr>
      <w:r w:rsidRPr="008C013D">
        <w:rPr>
          <w:rFonts w:ascii="Arial" w:hAnsi="Arial" w:cs="Arial"/>
        </w:rPr>
        <w:t xml:space="preserve">Munitionstransportweg See (Schnittstelle Räumstelle/Seetransport zum Bundes- oder Landeshafen): </w:t>
      </w:r>
    </w:p>
    <w:p w14:paraId="2538FF33" w14:textId="04716214" w:rsidR="00FE1FCE" w:rsidRPr="009E50CF" w:rsidRDefault="00FE1FCE" w:rsidP="00FE1FCE">
      <w:pPr>
        <w:numPr>
          <w:ilvl w:val="1"/>
          <w:numId w:val="4"/>
        </w:numPr>
        <w:jc w:val="both"/>
        <w:rPr>
          <w:rFonts w:ascii="Arial" w:hAnsi="Arial" w:cs="Arial"/>
        </w:rPr>
      </w:pPr>
      <w:r w:rsidRPr="008C013D">
        <w:rPr>
          <w:rFonts w:ascii="Arial" w:hAnsi="Arial" w:cs="Arial"/>
        </w:rPr>
        <w:t>Notwendigkeit einer Ausnahmegenehmigung nach GGV See für den Seetransport der Kampfmittel, auch da keine Allgemeinverfügung zum Transport auf See vorhanden ist, wie sie analog an Land existiert (erstellt durch BAM, im Auftrag von BMV),</w:t>
      </w:r>
    </w:p>
    <w:p w14:paraId="5AACFEA5" w14:textId="77777777" w:rsidR="00D9649E" w:rsidRPr="008C013D" w:rsidRDefault="00FE1FCE" w:rsidP="00FE1FCE">
      <w:pPr>
        <w:numPr>
          <w:ilvl w:val="0"/>
          <w:numId w:val="7"/>
        </w:numPr>
        <w:jc w:val="both"/>
        <w:rPr>
          <w:rFonts w:ascii="Arial" w:hAnsi="Arial" w:cs="Arial"/>
        </w:rPr>
      </w:pPr>
      <w:r w:rsidRPr="008C013D">
        <w:rPr>
          <w:rFonts w:ascii="Arial" w:hAnsi="Arial" w:cs="Arial"/>
        </w:rPr>
        <w:t xml:space="preserve">Munitionstransportweg See (Schnittstelle Nasslager/Seetransport: zum Bundes- oder Landeshafen): </w:t>
      </w:r>
    </w:p>
    <w:p w14:paraId="16A2FCE1" w14:textId="5519D27E" w:rsidR="00FE1FCE" w:rsidRPr="008C013D" w:rsidRDefault="00FE1FCE" w:rsidP="00D9649E">
      <w:pPr>
        <w:numPr>
          <w:ilvl w:val="1"/>
          <w:numId w:val="7"/>
        </w:numPr>
        <w:jc w:val="both"/>
        <w:rPr>
          <w:rFonts w:ascii="Arial" w:hAnsi="Arial" w:cs="Arial"/>
        </w:rPr>
      </w:pPr>
      <w:r w:rsidRPr="008C013D">
        <w:rPr>
          <w:rFonts w:ascii="Arial" w:hAnsi="Arial" w:cs="Arial"/>
        </w:rPr>
        <w:t>Nasslager ist keine klassische Räumstelle (Gefahrenabwehr von Einzelmunition), sondern Ausgangspunkt des Transports bei planmäßiger Räumung von Altmunition.</w:t>
      </w:r>
    </w:p>
    <w:p w14:paraId="05CC03CE" w14:textId="77777777" w:rsidR="00FE1FCE" w:rsidRPr="008C013D" w:rsidRDefault="00FE1FCE" w:rsidP="00FE1FCE">
      <w:pPr>
        <w:pStyle w:val="Listenabsatz"/>
        <w:numPr>
          <w:ilvl w:val="0"/>
          <w:numId w:val="7"/>
        </w:numPr>
        <w:jc w:val="both"/>
        <w:rPr>
          <w:rFonts w:ascii="Arial" w:hAnsi="Arial" w:cs="Arial"/>
        </w:rPr>
      </w:pPr>
      <w:r w:rsidRPr="008C013D">
        <w:rPr>
          <w:rFonts w:ascii="Arial" w:hAnsi="Arial" w:cs="Arial"/>
        </w:rPr>
        <w:t>Notalltransport – Ausnahmegenehmigung GefahrgutVO See</w:t>
      </w:r>
    </w:p>
    <w:p w14:paraId="7EBAB4EC" w14:textId="77777777" w:rsidR="00FE1FCE" w:rsidRPr="008C013D" w:rsidRDefault="00FE1FCE" w:rsidP="00FE1FCE">
      <w:pPr>
        <w:jc w:val="both"/>
        <w:rPr>
          <w:rFonts w:ascii="Arial" w:hAnsi="Arial" w:cs="Arial"/>
          <w:b/>
          <w:bCs/>
        </w:rPr>
      </w:pPr>
      <w:r w:rsidRPr="008C013D">
        <w:rPr>
          <w:rFonts w:ascii="Arial" w:hAnsi="Arial" w:cs="Arial"/>
          <w:b/>
          <w:bCs/>
        </w:rPr>
        <w:lastRenderedPageBreak/>
        <w:t>Gefahrenabwehr in den Häfen</w:t>
      </w:r>
    </w:p>
    <w:p w14:paraId="5BBBBFB0" w14:textId="77777777" w:rsidR="00FE1FCE" w:rsidRPr="008C013D" w:rsidRDefault="00FE1FCE" w:rsidP="00FE1FCE">
      <w:pPr>
        <w:numPr>
          <w:ilvl w:val="0"/>
          <w:numId w:val="3"/>
        </w:numPr>
        <w:jc w:val="both"/>
        <w:rPr>
          <w:rFonts w:ascii="Arial" w:hAnsi="Arial" w:cs="Arial"/>
        </w:rPr>
      </w:pPr>
      <w:r w:rsidRPr="008C013D">
        <w:rPr>
          <w:rFonts w:ascii="Arial" w:hAnsi="Arial" w:cs="Arial"/>
        </w:rPr>
        <w:t>In den bundeseigenen Häfen ist ein gewerblicher Umschlag von Gütern nur in Ausnahmefällen zulässig, in Rahmen des Notfalltransports jedoch regelmäßig praktiziert</w:t>
      </w:r>
    </w:p>
    <w:p w14:paraId="4CB5A9D0" w14:textId="77777777" w:rsidR="00FE1FCE" w:rsidRPr="008C013D" w:rsidRDefault="00FE1FCE" w:rsidP="00FE1FCE">
      <w:pPr>
        <w:numPr>
          <w:ilvl w:val="0"/>
          <w:numId w:val="3"/>
        </w:numPr>
        <w:jc w:val="both"/>
        <w:rPr>
          <w:rFonts w:ascii="Arial" w:hAnsi="Arial" w:cs="Arial"/>
        </w:rPr>
      </w:pPr>
      <w:r w:rsidRPr="008C013D">
        <w:rPr>
          <w:rFonts w:ascii="Arial" w:hAnsi="Arial" w:cs="Arial"/>
        </w:rPr>
        <w:t>Bedeutung des Ankunftshafens (landes- oder bundeseigener Hafen) und der Flagge des Transportschiffes für die zuständige(n) Genehmigungsbehörde(n).</w:t>
      </w:r>
    </w:p>
    <w:p w14:paraId="70407976" w14:textId="77777777" w:rsidR="00FE1FCE" w:rsidRPr="008C013D" w:rsidRDefault="00FE1FCE" w:rsidP="00FE1FCE">
      <w:pPr>
        <w:numPr>
          <w:ilvl w:val="0"/>
          <w:numId w:val="3"/>
        </w:numPr>
        <w:jc w:val="both"/>
        <w:rPr>
          <w:rFonts w:ascii="Arial" w:hAnsi="Arial" w:cs="Arial"/>
        </w:rPr>
      </w:pPr>
      <w:r w:rsidRPr="008C013D">
        <w:rPr>
          <w:rFonts w:ascii="Arial" w:hAnsi="Arial" w:cs="Arial"/>
        </w:rPr>
        <w:t xml:space="preserve">Bei deutscher Flagge: Notwendigkeit der Zulassung des Schiffes für den Gefahrguttransport und die Gefahrstoffmenge </w:t>
      </w:r>
    </w:p>
    <w:p w14:paraId="74808918" w14:textId="77777777" w:rsidR="00FE1FCE" w:rsidRPr="008C013D" w:rsidRDefault="00FE1FCE" w:rsidP="00FE1FCE">
      <w:pPr>
        <w:numPr>
          <w:ilvl w:val="0"/>
          <w:numId w:val="2"/>
        </w:numPr>
        <w:jc w:val="both"/>
        <w:rPr>
          <w:rFonts w:ascii="Arial" w:hAnsi="Arial" w:cs="Arial"/>
        </w:rPr>
      </w:pPr>
      <w:r w:rsidRPr="008C013D">
        <w:rPr>
          <w:rFonts w:ascii="Arial" w:hAnsi="Arial" w:cs="Arial"/>
        </w:rPr>
        <w:t>Munitionstransportweg See – Schifffahrtspolizeiliche Genehmigung</w:t>
      </w:r>
    </w:p>
    <w:p w14:paraId="021846D9" w14:textId="77777777" w:rsidR="00FE1FCE" w:rsidRPr="008C013D" w:rsidRDefault="00FE1FCE" w:rsidP="00FE1FCE">
      <w:pPr>
        <w:numPr>
          <w:ilvl w:val="0"/>
          <w:numId w:val="2"/>
        </w:numPr>
        <w:jc w:val="both"/>
        <w:rPr>
          <w:rFonts w:ascii="Arial" w:hAnsi="Arial" w:cs="Arial"/>
        </w:rPr>
      </w:pPr>
      <w:r w:rsidRPr="008C013D">
        <w:rPr>
          <w:rFonts w:ascii="Arial" w:hAnsi="Arial" w:cs="Arial"/>
        </w:rPr>
        <w:t>Munitionsumschlag im Bundeshafen</w:t>
      </w:r>
    </w:p>
    <w:p w14:paraId="7862A04F" w14:textId="77777777" w:rsidR="00FE1FCE" w:rsidRPr="008C013D" w:rsidRDefault="00FE1FCE" w:rsidP="00FE1FCE">
      <w:pPr>
        <w:numPr>
          <w:ilvl w:val="0"/>
          <w:numId w:val="2"/>
        </w:numPr>
        <w:jc w:val="both"/>
        <w:rPr>
          <w:rFonts w:ascii="Arial" w:hAnsi="Arial" w:cs="Arial"/>
        </w:rPr>
      </w:pPr>
      <w:r w:rsidRPr="008C013D">
        <w:rPr>
          <w:rFonts w:ascii="Arial" w:hAnsi="Arial" w:cs="Arial"/>
        </w:rPr>
        <w:t>Munitionsumschlag im Landeshafen</w:t>
      </w:r>
    </w:p>
    <w:p w14:paraId="09F55102" w14:textId="748E9FDC" w:rsidR="00100647" w:rsidRDefault="00FE1FCE" w:rsidP="00DA42BA">
      <w:pPr>
        <w:numPr>
          <w:ilvl w:val="0"/>
          <w:numId w:val="2"/>
        </w:numPr>
        <w:jc w:val="both"/>
        <w:rPr>
          <w:rFonts w:ascii="Arial" w:hAnsi="Arial" w:cs="Arial"/>
        </w:rPr>
      </w:pPr>
      <w:r w:rsidRPr="00100647">
        <w:rPr>
          <w:rFonts w:ascii="Arial" w:hAnsi="Arial" w:cs="Arial"/>
        </w:rPr>
        <w:t>Munitionstransportweg Land (vom Hafen zur GEKA): Straßentransport gem. Allgemeinverfügung Kampfmittel</w:t>
      </w:r>
    </w:p>
    <w:p w14:paraId="5580F9A8" w14:textId="77777777" w:rsidR="00097D0F" w:rsidRDefault="00097D0F" w:rsidP="00097D0F">
      <w:pPr>
        <w:jc w:val="both"/>
        <w:rPr>
          <w:rFonts w:ascii="Arial" w:hAnsi="Arial" w:cs="Arial"/>
          <w:b/>
          <w:bCs/>
        </w:rPr>
      </w:pPr>
    </w:p>
    <w:p w14:paraId="3E264A0B" w14:textId="211248D6" w:rsidR="00097D0F" w:rsidRPr="008C013D" w:rsidRDefault="00097D0F" w:rsidP="00097D0F">
      <w:pPr>
        <w:jc w:val="both"/>
        <w:rPr>
          <w:rFonts w:ascii="Arial" w:hAnsi="Arial" w:cs="Arial"/>
          <w:b/>
          <w:bCs/>
        </w:rPr>
      </w:pPr>
      <w:r w:rsidRPr="008C013D">
        <w:rPr>
          <w:rFonts w:ascii="Arial" w:hAnsi="Arial" w:cs="Arial"/>
          <w:b/>
          <w:bCs/>
        </w:rPr>
        <w:t xml:space="preserve">Kampfmittelräumung </w:t>
      </w:r>
    </w:p>
    <w:p w14:paraId="5DF36AE6" w14:textId="77777777" w:rsidR="00097D0F" w:rsidRPr="008C013D" w:rsidRDefault="00097D0F" w:rsidP="00097D0F">
      <w:pPr>
        <w:jc w:val="both"/>
        <w:rPr>
          <w:rFonts w:ascii="Arial" w:hAnsi="Arial" w:cs="Arial"/>
          <w:b/>
          <w:bCs/>
        </w:rPr>
      </w:pPr>
      <w:r w:rsidRPr="008C013D">
        <w:rPr>
          <w:rFonts w:ascii="Arial" w:hAnsi="Arial" w:cs="Arial"/>
          <w:b/>
          <w:bCs/>
        </w:rPr>
        <w:t>Sicherheit auf See</w:t>
      </w:r>
    </w:p>
    <w:p w14:paraId="5E58F0C4" w14:textId="77777777" w:rsidR="00097D0F" w:rsidRPr="008C013D" w:rsidRDefault="00097D0F" w:rsidP="00097D0F">
      <w:pPr>
        <w:numPr>
          <w:ilvl w:val="1"/>
          <w:numId w:val="2"/>
        </w:numPr>
        <w:jc w:val="both"/>
        <w:rPr>
          <w:rFonts w:ascii="Arial" w:hAnsi="Arial" w:cs="Arial"/>
        </w:rPr>
      </w:pPr>
      <w:r w:rsidRPr="008C013D">
        <w:rPr>
          <w:rFonts w:ascii="Arial" w:hAnsi="Arial" w:cs="Arial"/>
        </w:rPr>
        <w:t>Strom- /schifffahrtspolizeiliche Genehmigungen</w:t>
      </w:r>
    </w:p>
    <w:p w14:paraId="151968AC" w14:textId="77777777" w:rsidR="00097D0F" w:rsidRPr="008C013D" w:rsidRDefault="00097D0F" w:rsidP="00097D0F">
      <w:pPr>
        <w:numPr>
          <w:ilvl w:val="1"/>
          <w:numId w:val="2"/>
        </w:numPr>
        <w:jc w:val="both"/>
        <w:rPr>
          <w:rFonts w:ascii="Arial" w:hAnsi="Arial" w:cs="Arial"/>
        </w:rPr>
      </w:pPr>
      <w:r w:rsidRPr="008C013D">
        <w:rPr>
          <w:rFonts w:ascii="Arial" w:hAnsi="Arial" w:cs="Arial"/>
        </w:rPr>
        <w:t>Flaggenstaatliche Zeugnisse</w:t>
      </w:r>
    </w:p>
    <w:p w14:paraId="0AD13D51" w14:textId="77777777" w:rsidR="00097D0F" w:rsidRPr="008C013D" w:rsidRDefault="00097D0F" w:rsidP="00097D0F">
      <w:pPr>
        <w:numPr>
          <w:ilvl w:val="1"/>
          <w:numId w:val="2"/>
        </w:numPr>
        <w:jc w:val="both"/>
        <w:rPr>
          <w:rFonts w:ascii="Arial" w:hAnsi="Arial" w:cs="Arial"/>
        </w:rPr>
      </w:pPr>
      <w:r w:rsidRPr="008C013D">
        <w:rPr>
          <w:rFonts w:ascii="Arial" w:hAnsi="Arial" w:cs="Arial"/>
        </w:rPr>
        <w:t>Klassifikation</w:t>
      </w:r>
    </w:p>
    <w:p w14:paraId="1E97BC7A" w14:textId="77777777" w:rsidR="00097D0F" w:rsidRDefault="00097D0F" w:rsidP="00097D0F">
      <w:pPr>
        <w:jc w:val="both"/>
        <w:rPr>
          <w:rFonts w:ascii="Arial" w:hAnsi="Arial" w:cs="Arial"/>
        </w:rPr>
      </w:pPr>
    </w:p>
    <w:p w14:paraId="53805E66" w14:textId="1F944BB7" w:rsidR="00486AA2" w:rsidRPr="008C013D" w:rsidRDefault="00486AA2">
      <w:pPr>
        <w:rPr>
          <w:rFonts w:ascii="Arial" w:hAnsi="Arial" w:cs="Arial"/>
        </w:rPr>
      </w:pPr>
    </w:p>
    <w:sectPr w:rsidR="00486AA2" w:rsidRPr="008C013D" w:rsidSect="008C013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67E8"/>
    <w:multiLevelType w:val="hybridMultilevel"/>
    <w:tmpl w:val="FF8897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F53A42"/>
    <w:multiLevelType w:val="hybridMultilevel"/>
    <w:tmpl w:val="68C86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45516"/>
    <w:multiLevelType w:val="hybridMultilevel"/>
    <w:tmpl w:val="CFD6E6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DB4617"/>
    <w:multiLevelType w:val="hybridMultilevel"/>
    <w:tmpl w:val="29D65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560EDF"/>
    <w:multiLevelType w:val="hybridMultilevel"/>
    <w:tmpl w:val="D5049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723754"/>
    <w:multiLevelType w:val="hybridMultilevel"/>
    <w:tmpl w:val="5CD4BBD2"/>
    <w:lvl w:ilvl="0" w:tplc="D4B6E9DC">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7557CF"/>
    <w:multiLevelType w:val="hybridMultilevel"/>
    <w:tmpl w:val="AC585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2FE5"/>
    <w:multiLevelType w:val="hybridMultilevel"/>
    <w:tmpl w:val="615ED2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3D"/>
    <w:rsid w:val="0006784F"/>
    <w:rsid w:val="00097D0F"/>
    <w:rsid w:val="00100647"/>
    <w:rsid w:val="00486AA2"/>
    <w:rsid w:val="0063363B"/>
    <w:rsid w:val="0064623D"/>
    <w:rsid w:val="0065534F"/>
    <w:rsid w:val="008A6569"/>
    <w:rsid w:val="008C013D"/>
    <w:rsid w:val="009E50CF"/>
    <w:rsid w:val="00D866FF"/>
    <w:rsid w:val="00D9649E"/>
    <w:rsid w:val="00FE1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6B83"/>
  <w15:chartTrackingRefBased/>
  <w15:docId w15:val="{67298C60-4DC6-40AF-B61F-518405C0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65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A6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97D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E1FCE"/>
    <w:pPr>
      <w:ind w:left="720"/>
      <w:contextualSpacing/>
    </w:pPr>
    <w:rPr>
      <w:rFonts w:eastAsiaTheme="minorEastAsia"/>
      <w:lang w:eastAsia="zh-CN"/>
    </w:rPr>
  </w:style>
  <w:style w:type="character" w:styleId="Kommentarzeichen">
    <w:name w:val="annotation reference"/>
    <w:basedOn w:val="Absatz-Standardschriftart"/>
    <w:uiPriority w:val="99"/>
    <w:semiHidden/>
    <w:unhideWhenUsed/>
    <w:rsid w:val="00FE1FCE"/>
    <w:rPr>
      <w:sz w:val="16"/>
      <w:szCs w:val="16"/>
    </w:rPr>
  </w:style>
  <w:style w:type="paragraph" w:styleId="Kommentartext">
    <w:name w:val="annotation text"/>
    <w:basedOn w:val="Standard"/>
    <w:link w:val="KommentartextZchn"/>
    <w:uiPriority w:val="99"/>
    <w:semiHidden/>
    <w:unhideWhenUsed/>
    <w:rsid w:val="00FE1FCE"/>
    <w:pPr>
      <w:spacing w:line="240" w:lineRule="auto"/>
    </w:pPr>
    <w:rPr>
      <w:rFonts w:eastAsiaTheme="minorEastAsia"/>
      <w:sz w:val="20"/>
      <w:szCs w:val="20"/>
      <w:lang w:eastAsia="zh-CN"/>
    </w:rPr>
  </w:style>
  <w:style w:type="character" w:customStyle="1" w:styleId="KommentartextZchn">
    <w:name w:val="Kommentartext Zchn"/>
    <w:basedOn w:val="Absatz-Standardschriftart"/>
    <w:link w:val="Kommentartext"/>
    <w:uiPriority w:val="99"/>
    <w:semiHidden/>
    <w:rsid w:val="00FE1FCE"/>
    <w:rPr>
      <w:rFonts w:eastAsiaTheme="minorEastAsia"/>
      <w:sz w:val="20"/>
      <w:szCs w:val="20"/>
      <w:lang w:eastAsia="zh-CN"/>
    </w:rPr>
  </w:style>
  <w:style w:type="paragraph" w:styleId="StandardWeb">
    <w:name w:val="Normal (Web)"/>
    <w:basedOn w:val="Standard"/>
    <w:uiPriority w:val="99"/>
    <w:semiHidden/>
    <w:unhideWhenUsed/>
    <w:rsid w:val="008C013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35"/>
    <w:unhideWhenUsed/>
    <w:qFormat/>
    <w:rsid w:val="008C013D"/>
    <w:pPr>
      <w:spacing w:after="200" w:line="240" w:lineRule="auto"/>
    </w:pPr>
    <w:rPr>
      <w:i/>
      <w:iCs/>
      <w:color w:val="44546A" w:themeColor="text2"/>
      <w:sz w:val="18"/>
      <w:szCs w:val="18"/>
    </w:rPr>
  </w:style>
  <w:style w:type="paragraph" w:styleId="Kommentarthema">
    <w:name w:val="annotation subject"/>
    <w:basedOn w:val="Kommentartext"/>
    <w:next w:val="Kommentartext"/>
    <w:link w:val="KommentarthemaZchn"/>
    <w:uiPriority w:val="99"/>
    <w:semiHidden/>
    <w:unhideWhenUsed/>
    <w:rsid w:val="00100647"/>
    <w:rPr>
      <w:rFonts w:eastAsiaTheme="minorHAnsi"/>
      <w:b/>
      <w:bCs/>
      <w:lang w:eastAsia="en-US"/>
    </w:rPr>
  </w:style>
  <w:style w:type="character" w:customStyle="1" w:styleId="KommentarthemaZchn">
    <w:name w:val="Kommentarthema Zchn"/>
    <w:basedOn w:val="KommentartextZchn"/>
    <w:link w:val="Kommentarthema"/>
    <w:uiPriority w:val="99"/>
    <w:semiHidden/>
    <w:rsid w:val="00100647"/>
    <w:rPr>
      <w:rFonts w:eastAsiaTheme="minorEastAsia"/>
      <w:b/>
      <w:bCs/>
      <w:sz w:val="20"/>
      <w:szCs w:val="20"/>
      <w:lang w:eastAsia="zh-CN"/>
    </w:rPr>
  </w:style>
  <w:style w:type="character" w:customStyle="1" w:styleId="berschrift1Zchn">
    <w:name w:val="Überschrift 1 Zchn"/>
    <w:basedOn w:val="Absatz-Standardschriftart"/>
    <w:link w:val="berschrift1"/>
    <w:uiPriority w:val="9"/>
    <w:rsid w:val="008A656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8A656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097D0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Wohlfart, Alina</dc:creator>
  <cp:keywords/>
  <dc:description/>
  <cp:lastModifiedBy>Wohlfart, Alina</cp:lastModifiedBy>
  <cp:revision>10</cp:revision>
  <dcterms:created xsi:type="dcterms:W3CDTF">2025-07-10T12:54:00Z</dcterms:created>
  <dcterms:modified xsi:type="dcterms:W3CDTF">2026-02-06T15:31:00Z</dcterms:modified>
</cp:coreProperties>
</file>