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A6E" w:rsidRDefault="001838EA">
      <w:pPr>
        <w:pStyle w:val="berschrift1"/>
      </w:pPr>
      <w:r>
        <w:t>Fragen und Antworten zum Vergabeverfahren</w:t>
      </w:r>
    </w:p>
    <w:p w:rsidR="00273A6E" w:rsidRDefault="00B639BF">
      <w:pPr>
        <w:pStyle w:val="berschrift2"/>
      </w:pPr>
      <w:r w:rsidRPr="00C81285">
        <w:t>„</w:t>
      </w:r>
      <w:r w:rsidR="00765A51">
        <w:t>Monitore und Zubehör</w:t>
      </w:r>
      <w:r w:rsidR="0033154D" w:rsidRPr="0033154D">
        <w:t>“</w:t>
      </w:r>
    </w:p>
    <w:p w:rsidR="00E81313" w:rsidRDefault="00E81313" w:rsidP="00E81313">
      <w:pPr>
        <w:pStyle w:val="berschrift3"/>
      </w:pPr>
      <w:r>
        <w:t xml:space="preserve">Fragen ab </w:t>
      </w:r>
      <w:sdt>
        <w:sdtPr>
          <w:alias w:val="Datum erste Version"/>
          <w:tag w:val="Datum erste Version"/>
          <w:id w:val="-1654974553"/>
          <w:placeholder>
            <w:docPart w:val="560CD44531FF4AC38FDEBAE8DECA5E1B"/>
          </w:placeholder>
          <w15:color w:val="FF6600"/>
          <w:date w:fullDate="2025-10-28T00:00:00Z">
            <w:dateFormat w:val="dd.MM.yyyy"/>
            <w:lid w:val="de-DE"/>
            <w:storeMappedDataAs w:val="dateTime"/>
            <w:calendar w:val="gregorian"/>
          </w:date>
        </w:sdtPr>
        <w:sdtEndPr/>
        <w:sdtContent>
          <w:r w:rsidR="00E2005C">
            <w:t>28.10.2025</w:t>
          </w:r>
        </w:sdtContent>
      </w:sdt>
    </w:p>
    <w:tbl>
      <w:tblPr>
        <w:tblStyle w:val="Tabellenraster"/>
        <w:tblW w:w="0" w:type="auto"/>
        <w:tblLook w:val="05A0" w:firstRow="1" w:lastRow="0" w:firstColumn="1" w:lastColumn="1" w:noHBand="0" w:noVBand="1"/>
      </w:tblPr>
      <w:tblGrid>
        <w:gridCol w:w="704"/>
        <w:gridCol w:w="3119"/>
        <w:gridCol w:w="5368"/>
        <w:gridCol w:w="5369"/>
      </w:tblGrid>
      <w:tr w:rsidR="00273A6E" w:rsidTr="00273A6E">
        <w:trPr>
          <w:cnfStyle w:val="100000000000" w:firstRow="1" w:lastRow="0" w:firstColumn="0" w:lastColumn="0" w:oddVBand="0" w:evenVBand="0" w:oddHBand="0" w:evenHBand="0" w:firstRowFirstColumn="0" w:firstRowLastColumn="0" w:lastRowFirstColumn="0" w:lastRowLastColumn="0"/>
        </w:trPr>
        <w:tc>
          <w:tcPr>
            <w:tcW w:w="704" w:type="dxa"/>
          </w:tcPr>
          <w:p w:rsidR="00273A6E" w:rsidRDefault="001838EA">
            <w:pPr>
              <w:pStyle w:val="Tabellenberschrift"/>
            </w:pPr>
            <w:r>
              <w:t>Nr.</w:t>
            </w:r>
          </w:p>
        </w:tc>
        <w:tc>
          <w:tcPr>
            <w:tcW w:w="3119" w:type="dxa"/>
          </w:tcPr>
          <w:p w:rsidR="00273A6E" w:rsidRDefault="001838EA">
            <w:pPr>
              <w:pStyle w:val="Tabellenberschrift"/>
            </w:pPr>
            <w:r>
              <w:t xml:space="preserve">Quelle </w:t>
            </w:r>
            <w:r>
              <w:br/>
            </w:r>
            <w:r>
              <w:rPr>
                <w:rStyle w:val="Fett"/>
              </w:rPr>
              <w:t xml:space="preserve">(Dokument, Kap., </w:t>
            </w:r>
            <w:proofErr w:type="gramStart"/>
            <w:r>
              <w:rPr>
                <w:rStyle w:val="Fett"/>
              </w:rPr>
              <w:t>Seite,…</w:t>
            </w:r>
            <w:proofErr w:type="gramEnd"/>
            <w:r>
              <w:rPr>
                <w:rStyle w:val="Fett"/>
              </w:rPr>
              <w:t>)</w:t>
            </w:r>
          </w:p>
        </w:tc>
        <w:tc>
          <w:tcPr>
            <w:tcW w:w="5368" w:type="dxa"/>
          </w:tcPr>
          <w:p w:rsidR="00273A6E" w:rsidRDefault="001838EA">
            <w:pPr>
              <w:pStyle w:val="Tabellenberschrift"/>
            </w:pPr>
            <w:r>
              <w:t>Frage Bieter bzw. Bewerber (ggf. Begründung für Betriebs- und Geschäftsgeheimnisse)</w:t>
            </w:r>
          </w:p>
        </w:tc>
        <w:tc>
          <w:tcPr>
            <w:cnfStyle w:val="000100000000" w:firstRow="0" w:lastRow="0" w:firstColumn="0" w:lastColumn="1" w:oddVBand="0" w:evenVBand="0" w:oddHBand="0" w:evenHBand="0" w:firstRowFirstColumn="0" w:firstRowLastColumn="0" w:lastRowFirstColumn="0" w:lastRowLastColumn="0"/>
            <w:tcW w:w="5369" w:type="dxa"/>
          </w:tcPr>
          <w:p w:rsidR="00273A6E" w:rsidRDefault="001838EA">
            <w:pPr>
              <w:pStyle w:val="Tabellenberschrift"/>
            </w:pPr>
            <w:r>
              <w:t>Antwort</w:t>
            </w:r>
            <w:r w:rsidR="00A5096D">
              <w:t xml:space="preserve"> </w:t>
            </w:r>
            <w:r>
              <w:t>BeschA</w:t>
            </w:r>
          </w:p>
        </w:tc>
      </w:tr>
      <w:tr w:rsidR="00273A6E" w:rsidTr="00A5096D">
        <w:tc>
          <w:tcPr>
            <w:tcW w:w="704" w:type="dxa"/>
          </w:tcPr>
          <w:p w:rsidR="00273A6E" w:rsidRPr="009D1B3B" w:rsidRDefault="00E2005C">
            <w:r w:rsidRPr="009D1B3B">
              <w:t>1</w:t>
            </w:r>
          </w:p>
        </w:tc>
        <w:tc>
          <w:tcPr>
            <w:tcW w:w="3119" w:type="dxa"/>
          </w:tcPr>
          <w:p w:rsidR="00273A6E" w:rsidRPr="009D1B3B" w:rsidRDefault="00E2005C">
            <w:r w:rsidRPr="009D1B3B">
              <w:t>Leistungsbeschreibung</w:t>
            </w:r>
          </w:p>
          <w:p w:rsidR="00E2005C" w:rsidRPr="009D1B3B" w:rsidRDefault="00E2005C" w:rsidP="00E2005C">
            <w:r w:rsidRPr="009D1B3B">
              <w:t>- gültig für Los 1 bis 4-</w:t>
            </w:r>
          </w:p>
        </w:tc>
        <w:tc>
          <w:tcPr>
            <w:tcW w:w="5368" w:type="dxa"/>
          </w:tcPr>
          <w:p w:rsidR="00E2005C" w:rsidRPr="009D1B3B" w:rsidRDefault="00E2005C" w:rsidP="00E2005C">
            <w:r w:rsidRPr="009D1B3B">
              <w:t>Bieterfrage zur Los 1 bis Los 4:</w:t>
            </w:r>
          </w:p>
          <w:p w:rsidR="00E2005C" w:rsidRPr="009D1B3B" w:rsidRDefault="00E2005C" w:rsidP="00E2005C">
            <w:r w:rsidRPr="009D1B3B">
              <w:t>In der Leistungsbeschreibung ist eine Schwenkbarkeit von „mindestens 30° jeweils links und rechts“ gefordert, wobei alternativ auch die Montage eines anderen Standfußes zulässig ist, sofern dieser standardmäßig eingepreist wird.</w:t>
            </w:r>
          </w:p>
          <w:p w:rsidR="00E2005C" w:rsidRPr="009D1B3B" w:rsidRDefault="00E2005C" w:rsidP="00E2005C">
            <w:r w:rsidRPr="009D1B3B">
              <w:t xml:space="preserve">Wir bitten um Klarstellung, ob auch eine Schwenkbarkeit von jeweils 20° als technisch ausreichend angesehen werden kann, insbesondere wenn dadurch die Funktionalität und die ergonomischen Anforderungen der Nutzung vollständig </w:t>
            </w:r>
          </w:p>
          <w:p w:rsidR="00E2005C" w:rsidRPr="009D1B3B" w:rsidRDefault="00E2005C" w:rsidP="00E2005C">
            <w:r w:rsidRPr="009D1B3B">
              <w:t xml:space="preserve">erfüllt werden. </w:t>
            </w:r>
          </w:p>
          <w:p w:rsidR="00E2005C" w:rsidRPr="009D1B3B" w:rsidRDefault="00E2005C" w:rsidP="00E2005C">
            <w:r w:rsidRPr="009D1B3B">
              <w:t xml:space="preserve">Hintergrund unserer Frage ist, dass marktübliche Geräte mit einer Schwenkbarkeit von 20° bereits eine flexible und praxisgerechte Ausrichtung ermöglichen, </w:t>
            </w:r>
          </w:p>
          <w:p w:rsidR="00E2005C" w:rsidRPr="009D1B3B" w:rsidRDefault="00E2005C" w:rsidP="00E2005C">
            <w:r w:rsidRPr="009D1B3B">
              <w:t>die den Anforderungen an die Nutzerfreundlichkeit und Arbeitsplatzergonomie entspricht.</w:t>
            </w:r>
          </w:p>
          <w:p w:rsidR="00E2005C" w:rsidRPr="009D1B3B" w:rsidRDefault="00E2005C" w:rsidP="00E2005C">
            <w:r w:rsidRPr="009D1B3B">
              <w:t xml:space="preserve">Zudem möchten wir darauf hinweisen, dass eine Öffnung der Spezifikation auf „mindestens 20°“ den Wettbewerb erweitern und die Wirtschaftlichkeit der Angebote fördern könnte, </w:t>
            </w:r>
          </w:p>
          <w:p w:rsidR="00E2005C" w:rsidRPr="009D1B3B" w:rsidRDefault="00E2005C" w:rsidP="00E2005C">
            <w:r w:rsidRPr="009D1B3B">
              <w:lastRenderedPageBreak/>
              <w:t xml:space="preserve">ohne die angestrebte Funktionalität zu beeinträchtigen. Dies wäre aus unserer Sicht auch im Sinne des Transparenz- und Gleichbehandlungsgrundsatzes. </w:t>
            </w:r>
          </w:p>
          <w:p w:rsidR="00273A6E" w:rsidRPr="009D1B3B" w:rsidRDefault="00E2005C" w:rsidP="00E2005C">
            <w:r w:rsidRPr="009D1B3B">
              <w:t>Wir danken Ihnen für die Prüfung und bitten um entsprechende Rückmeldung, ob eine Anpassung der Leistungsbeschreibung in diesem Punkt möglich ist.</w:t>
            </w:r>
          </w:p>
        </w:tc>
        <w:tc>
          <w:tcPr>
            <w:cnfStyle w:val="000100000000" w:firstRow="0" w:lastRow="0" w:firstColumn="0" w:lastColumn="1" w:oddVBand="0" w:evenVBand="0" w:oddHBand="0" w:evenHBand="0" w:firstRowFirstColumn="0" w:firstRowLastColumn="0" w:lastRowFirstColumn="0" w:lastRowLastColumn="0"/>
            <w:tcW w:w="5369" w:type="dxa"/>
            <w:shd w:val="clear" w:color="auto" w:fill="auto"/>
          </w:tcPr>
          <w:p w:rsidR="0067200A" w:rsidRPr="009D1B3B" w:rsidRDefault="00E2005C" w:rsidP="001838EA">
            <w:pPr>
              <w:rPr>
                <w:color w:val="4472C4" w:themeColor="accent1"/>
              </w:rPr>
            </w:pPr>
            <w:r w:rsidRPr="009D1B3B">
              <w:rPr>
                <w:color w:val="4472C4" w:themeColor="accent1"/>
              </w:rPr>
              <w:lastRenderedPageBreak/>
              <w:t>Nein, eine Anpassung der Schwenkbarkeit wird nicht vorgenommen.</w:t>
            </w:r>
          </w:p>
          <w:p w:rsidR="00E2005C" w:rsidRPr="009D1B3B" w:rsidRDefault="00E2005C" w:rsidP="001838EA">
            <w:pPr>
              <w:rPr>
                <w:color w:val="4472C4" w:themeColor="accent1"/>
              </w:rPr>
            </w:pPr>
            <w:r w:rsidRPr="009D1B3B">
              <w:rPr>
                <w:color w:val="4472C4" w:themeColor="accent1"/>
              </w:rPr>
              <w:t>Gemäß dem „Leitfaden: Monitore produktneutral ausschreiben 2023 (DE)“ der Bitkom wird eine Schwenkbarkeit von mind. 45° nach links und rechts empfohlen.</w:t>
            </w:r>
          </w:p>
          <w:p w:rsidR="00E2005C" w:rsidRPr="009D1B3B" w:rsidRDefault="00E2005C" w:rsidP="001838EA">
            <w:pPr>
              <w:rPr>
                <w:color w:val="4472C4" w:themeColor="accent1"/>
              </w:rPr>
            </w:pPr>
            <w:r w:rsidRPr="009D1B3B">
              <w:rPr>
                <w:color w:val="4472C4" w:themeColor="accent1"/>
              </w:rPr>
              <w:t>Zur Erweiterung des Wettbewerbs wurde die Schwenkbarkeit bereits auf 30° nach links und rechts reduziert.</w:t>
            </w:r>
          </w:p>
        </w:tc>
      </w:tr>
    </w:tbl>
    <w:p w:rsidR="009D1B3B" w:rsidRDefault="009D1B3B"/>
    <w:p w:rsidR="009D1B3B" w:rsidRDefault="009D1B3B" w:rsidP="009D1B3B">
      <w:pPr>
        <w:pStyle w:val="berschrift3"/>
      </w:pPr>
      <w:r>
        <w:t xml:space="preserve">Fragen ab </w:t>
      </w:r>
      <w:sdt>
        <w:sdtPr>
          <w:alias w:val="Datum erste Version"/>
          <w:tag w:val="Datum erste Version"/>
          <w:id w:val="1352915886"/>
          <w:placeholder>
            <w:docPart w:val="58CDB5BDA6BE4B9382B05F613C2F7838"/>
          </w:placeholder>
          <w15:color w:val="FF6600"/>
          <w:date w:fullDate="2025-11-10T00:00:00Z">
            <w:dateFormat w:val="dd.MM.yyyy"/>
            <w:lid w:val="de-DE"/>
            <w:storeMappedDataAs w:val="dateTime"/>
            <w:calendar w:val="gregorian"/>
          </w:date>
        </w:sdtPr>
        <w:sdtContent>
          <w:r>
            <w:t>10.11.2025</w:t>
          </w:r>
        </w:sdtContent>
      </w:sdt>
    </w:p>
    <w:tbl>
      <w:tblPr>
        <w:tblStyle w:val="Tabellenraster"/>
        <w:tblW w:w="0" w:type="auto"/>
        <w:tblLook w:val="05A0" w:firstRow="1" w:lastRow="0" w:firstColumn="1" w:lastColumn="1" w:noHBand="0" w:noVBand="1"/>
      </w:tblPr>
      <w:tblGrid>
        <w:gridCol w:w="704"/>
        <w:gridCol w:w="3119"/>
        <w:gridCol w:w="5368"/>
        <w:gridCol w:w="5369"/>
      </w:tblGrid>
      <w:tr w:rsidR="009D1B3B" w:rsidTr="00472045">
        <w:trPr>
          <w:cnfStyle w:val="100000000000" w:firstRow="1" w:lastRow="0" w:firstColumn="0" w:lastColumn="0" w:oddVBand="0" w:evenVBand="0" w:oddHBand="0" w:evenHBand="0" w:firstRowFirstColumn="0" w:firstRowLastColumn="0" w:lastRowFirstColumn="0" w:lastRowLastColumn="0"/>
        </w:trPr>
        <w:tc>
          <w:tcPr>
            <w:tcW w:w="704" w:type="dxa"/>
          </w:tcPr>
          <w:p w:rsidR="009D1B3B" w:rsidRDefault="009D1B3B" w:rsidP="00472045">
            <w:pPr>
              <w:pStyle w:val="Tabellenberschrift"/>
            </w:pPr>
            <w:r>
              <w:t>Nr.</w:t>
            </w:r>
          </w:p>
        </w:tc>
        <w:tc>
          <w:tcPr>
            <w:tcW w:w="3119" w:type="dxa"/>
          </w:tcPr>
          <w:p w:rsidR="009D1B3B" w:rsidRDefault="009D1B3B" w:rsidP="00472045">
            <w:pPr>
              <w:pStyle w:val="Tabellenberschrift"/>
            </w:pPr>
            <w:r>
              <w:t xml:space="preserve">Quelle </w:t>
            </w:r>
            <w:r>
              <w:br/>
            </w:r>
            <w:r>
              <w:rPr>
                <w:rStyle w:val="Fett"/>
              </w:rPr>
              <w:t xml:space="preserve">(Dokument, Kap., </w:t>
            </w:r>
            <w:proofErr w:type="gramStart"/>
            <w:r>
              <w:rPr>
                <w:rStyle w:val="Fett"/>
              </w:rPr>
              <w:t>Seite,…</w:t>
            </w:r>
            <w:proofErr w:type="gramEnd"/>
            <w:r>
              <w:rPr>
                <w:rStyle w:val="Fett"/>
              </w:rPr>
              <w:t>)</w:t>
            </w:r>
          </w:p>
        </w:tc>
        <w:tc>
          <w:tcPr>
            <w:tcW w:w="5368" w:type="dxa"/>
          </w:tcPr>
          <w:p w:rsidR="009D1B3B" w:rsidRDefault="009D1B3B" w:rsidP="00472045">
            <w:pPr>
              <w:pStyle w:val="Tabellenberschrift"/>
            </w:pPr>
            <w:r>
              <w:t>Frage Bieter bzw. Bewerber (ggf. Begründung für Betriebs- und Geschäftsgeheimnisse)</w:t>
            </w:r>
          </w:p>
        </w:tc>
        <w:tc>
          <w:tcPr>
            <w:cnfStyle w:val="000100000000" w:firstRow="0" w:lastRow="0" w:firstColumn="0" w:lastColumn="1" w:oddVBand="0" w:evenVBand="0" w:oddHBand="0" w:evenHBand="0" w:firstRowFirstColumn="0" w:firstRowLastColumn="0" w:lastRowFirstColumn="0" w:lastRowLastColumn="0"/>
            <w:tcW w:w="5369" w:type="dxa"/>
          </w:tcPr>
          <w:p w:rsidR="009D1B3B" w:rsidRDefault="009D1B3B" w:rsidP="00472045">
            <w:pPr>
              <w:pStyle w:val="Tabellenberschrift"/>
            </w:pPr>
            <w:r>
              <w:t>Antwort BeschA</w:t>
            </w:r>
          </w:p>
        </w:tc>
      </w:tr>
      <w:tr w:rsidR="009D1B3B" w:rsidTr="00A5096D">
        <w:tc>
          <w:tcPr>
            <w:tcW w:w="704" w:type="dxa"/>
          </w:tcPr>
          <w:p w:rsidR="009D1B3B" w:rsidRPr="009D1B3B" w:rsidRDefault="009D1B3B">
            <w:pPr>
              <w:rPr>
                <w:highlight w:val="yellow"/>
              </w:rPr>
            </w:pPr>
            <w:r w:rsidRPr="009D1B3B">
              <w:rPr>
                <w:highlight w:val="yellow"/>
              </w:rPr>
              <w:t>2</w:t>
            </w:r>
          </w:p>
        </w:tc>
        <w:tc>
          <w:tcPr>
            <w:tcW w:w="3119" w:type="dxa"/>
          </w:tcPr>
          <w:p w:rsidR="009D1B3B" w:rsidRPr="009D1B3B" w:rsidRDefault="009D1B3B">
            <w:pPr>
              <w:rPr>
                <w:highlight w:val="yellow"/>
              </w:rPr>
            </w:pPr>
            <w:r w:rsidRPr="009D1B3B">
              <w:rPr>
                <w:highlight w:val="yellow"/>
              </w:rPr>
              <w:t>Leistungsbeschreibung</w:t>
            </w:r>
          </w:p>
          <w:p w:rsidR="009D1B3B" w:rsidRPr="009D1B3B" w:rsidRDefault="009D1B3B">
            <w:pPr>
              <w:rPr>
                <w:highlight w:val="yellow"/>
              </w:rPr>
            </w:pPr>
          </w:p>
          <w:p w:rsidR="009D1B3B" w:rsidRPr="009D1B3B" w:rsidRDefault="009D1B3B">
            <w:pPr>
              <w:rPr>
                <w:highlight w:val="yellow"/>
              </w:rPr>
            </w:pPr>
            <w:r w:rsidRPr="009D1B3B">
              <w:rPr>
                <w:highlight w:val="yellow"/>
              </w:rPr>
              <w:t>-NEU-</w:t>
            </w:r>
          </w:p>
        </w:tc>
        <w:tc>
          <w:tcPr>
            <w:tcW w:w="5368" w:type="dxa"/>
          </w:tcPr>
          <w:p w:rsidR="009D1B3B" w:rsidRPr="009D1B3B" w:rsidRDefault="009D1B3B" w:rsidP="009D1B3B">
            <w:pPr>
              <w:rPr>
                <w:highlight w:val="yellow"/>
              </w:rPr>
            </w:pPr>
            <w:r w:rsidRPr="009D1B3B">
              <w:rPr>
                <w:highlight w:val="yellow"/>
              </w:rPr>
              <w:t>Sehr geehrte Damen und Herren,</w:t>
            </w:r>
          </w:p>
          <w:p w:rsidR="009D1B3B" w:rsidRPr="009D1B3B" w:rsidRDefault="009D1B3B" w:rsidP="009D1B3B">
            <w:pPr>
              <w:rPr>
                <w:highlight w:val="yellow"/>
              </w:rPr>
            </w:pPr>
            <w:r w:rsidRPr="009D1B3B">
              <w:rPr>
                <w:highlight w:val="yellow"/>
              </w:rPr>
              <w:t>im aufgehobenen, vorherigen Vergabeverfahren waren für die Blickschutzfilter Bestandteil der Leistungsbeschreibung. Im aktuellen Verfahren sind diese jedoch nicht mehr enthalten.</w:t>
            </w:r>
          </w:p>
          <w:p w:rsidR="009D1B3B" w:rsidRPr="009D1B3B" w:rsidRDefault="009D1B3B" w:rsidP="009D1B3B">
            <w:pPr>
              <w:rPr>
                <w:highlight w:val="yellow"/>
              </w:rPr>
            </w:pPr>
            <w:r w:rsidRPr="009D1B3B">
              <w:rPr>
                <w:highlight w:val="yellow"/>
              </w:rPr>
              <w:t>Gehen wir daher recht in der Annahme, dass es sich hierbei um einen redaktionellen Fehler handelt und die Blickschutzfilter weiterhin mit angeboten werden müssen?</w:t>
            </w:r>
          </w:p>
        </w:tc>
        <w:tc>
          <w:tcPr>
            <w:cnfStyle w:val="000100000000" w:firstRow="0" w:lastRow="0" w:firstColumn="0" w:lastColumn="1" w:oddVBand="0" w:evenVBand="0" w:oddHBand="0" w:evenHBand="0" w:firstRowFirstColumn="0" w:firstRowLastColumn="0" w:lastRowFirstColumn="0" w:lastRowLastColumn="0"/>
            <w:tcW w:w="5369" w:type="dxa"/>
            <w:shd w:val="clear" w:color="auto" w:fill="auto"/>
          </w:tcPr>
          <w:p w:rsidR="009D1B3B" w:rsidRPr="009D1B3B" w:rsidRDefault="009D1B3B">
            <w:pPr>
              <w:rPr>
                <w:highlight w:val="yellow"/>
              </w:rPr>
            </w:pPr>
            <w:r w:rsidRPr="009D1B3B">
              <w:rPr>
                <w:color w:val="0070C0"/>
                <w:highlight w:val="yellow"/>
              </w:rPr>
              <w:t>Nein, die Blickschutzfilter wurden im Rahmen dieser Ausschreibung gestrichen.</w:t>
            </w:r>
          </w:p>
        </w:tc>
      </w:tr>
      <w:tr w:rsidR="009D1B3B" w:rsidTr="00A5096D">
        <w:tc>
          <w:tcPr>
            <w:tcW w:w="704" w:type="dxa"/>
          </w:tcPr>
          <w:p w:rsidR="009D1B3B" w:rsidRPr="009D1B3B" w:rsidRDefault="009D1B3B">
            <w:pPr>
              <w:rPr>
                <w:highlight w:val="yellow"/>
              </w:rPr>
            </w:pPr>
            <w:r w:rsidRPr="009D1B3B">
              <w:rPr>
                <w:highlight w:val="yellow"/>
              </w:rPr>
              <w:t>3</w:t>
            </w:r>
          </w:p>
        </w:tc>
        <w:tc>
          <w:tcPr>
            <w:tcW w:w="3119" w:type="dxa"/>
          </w:tcPr>
          <w:p w:rsidR="009D1B3B" w:rsidRPr="009D1B3B" w:rsidRDefault="009D1B3B" w:rsidP="009D1B3B">
            <w:pPr>
              <w:rPr>
                <w:highlight w:val="yellow"/>
              </w:rPr>
            </w:pPr>
            <w:r w:rsidRPr="009D1B3B">
              <w:rPr>
                <w:highlight w:val="yellow"/>
              </w:rPr>
              <w:t xml:space="preserve">Anlage </w:t>
            </w:r>
            <w:r w:rsidRPr="009D1B3B">
              <w:rPr>
                <w:highlight w:val="yellow"/>
              </w:rPr>
              <w:t>Leistungsbeschreibung</w:t>
            </w:r>
            <w:r w:rsidRPr="009D1B3B">
              <w:rPr>
                <w:highlight w:val="yellow"/>
              </w:rPr>
              <w:t xml:space="preserve"> </w:t>
            </w:r>
          </w:p>
          <w:p w:rsidR="009D1B3B" w:rsidRPr="009D1B3B" w:rsidRDefault="009D1B3B" w:rsidP="009D1B3B">
            <w:pPr>
              <w:rPr>
                <w:highlight w:val="yellow"/>
              </w:rPr>
            </w:pPr>
            <w:r w:rsidRPr="009D1B3B">
              <w:rPr>
                <w:highlight w:val="yellow"/>
              </w:rPr>
              <w:t>Lose 1 bis 8</w:t>
            </w:r>
          </w:p>
          <w:p w:rsidR="009D1B3B" w:rsidRPr="009D1B3B" w:rsidRDefault="009D1B3B" w:rsidP="009D1B3B">
            <w:pPr>
              <w:rPr>
                <w:highlight w:val="yellow"/>
              </w:rPr>
            </w:pPr>
          </w:p>
          <w:p w:rsidR="009D1B3B" w:rsidRPr="009D1B3B" w:rsidRDefault="009D1B3B" w:rsidP="009D1B3B">
            <w:pPr>
              <w:rPr>
                <w:highlight w:val="yellow"/>
              </w:rPr>
            </w:pPr>
            <w:r w:rsidRPr="009D1B3B">
              <w:rPr>
                <w:highlight w:val="yellow"/>
              </w:rPr>
              <w:t>-NEU-</w:t>
            </w:r>
          </w:p>
        </w:tc>
        <w:tc>
          <w:tcPr>
            <w:tcW w:w="5368" w:type="dxa"/>
          </w:tcPr>
          <w:p w:rsidR="009D1B3B" w:rsidRPr="009D1B3B" w:rsidRDefault="009D1B3B" w:rsidP="009D1B3B">
            <w:pPr>
              <w:rPr>
                <w:highlight w:val="yellow"/>
              </w:rPr>
            </w:pPr>
            <w:r w:rsidRPr="009D1B3B">
              <w:rPr>
                <w:highlight w:val="yellow"/>
              </w:rPr>
              <w:t>Sehr geehrte Damen und Herren,</w:t>
            </w:r>
          </w:p>
          <w:p w:rsidR="009D1B3B" w:rsidRPr="009D1B3B" w:rsidRDefault="009D1B3B" w:rsidP="009D1B3B">
            <w:pPr>
              <w:rPr>
                <w:highlight w:val="yellow"/>
              </w:rPr>
            </w:pPr>
            <w:r w:rsidRPr="009D1B3B">
              <w:rPr>
                <w:highlight w:val="yellow"/>
              </w:rPr>
              <w:t>wir bitten um Beantwortung folgender Frage:</w:t>
            </w:r>
          </w:p>
          <w:p w:rsidR="009D1B3B" w:rsidRPr="009D1B3B" w:rsidRDefault="009D1B3B" w:rsidP="009D1B3B">
            <w:pPr>
              <w:rPr>
                <w:highlight w:val="yellow"/>
              </w:rPr>
            </w:pPr>
            <w:r w:rsidRPr="009D1B3B">
              <w:rPr>
                <w:highlight w:val="yellow"/>
              </w:rPr>
              <w:t xml:space="preserve">Sie fordern für alle Monitore integrierte Lautsprecher. Diese Monitore sollen über USB-C mit mobilen Endgeräten betrieben werden können. Diese Endgeräte halten immer bereits Lautsprecher vor, welche in den Standardeinstellungen der Betriebssysteme genutzt werden. Die internen Lautsprecher des Monitors werden </w:t>
            </w:r>
            <w:r w:rsidRPr="009D1B3B">
              <w:rPr>
                <w:highlight w:val="yellow"/>
              </w:rPr>
              <w:lastRenderedPageBreak/>
              <w:t xml:space="preserve">in der Regel nicht benutzt und müssen aktiv vom Nutzer für die Soundausgabe ausgewählt werden. </w:t>
            </w:r>
            <w:proofErr w:type="gramStart"/>
            <w:r w:rsidRPr="009D1B3B">
              <w:rPr>
                <w:highlight w:val="yellow"/>
              </w:rPr>
              <w:t xml:space="preserve">Des </w:t>
            </w:r>
            <w:proofErr w:type="spellStart"/>
            <w:r w:rsidRPr="009D1B3B">
              <w:rPr>
                <w:highlight w:val="yellow"/>
              </w:rPr>
              <w:t>weiteren</w:t>
            </w:r>
            <w:proofErr w:type="spellEnd"/>
            <w:proofErr w:type="gramEnd"/>
            <w:r w:rsidRPr="009D1B3B">
              <w:rPr>
                <w:highlight w:val="yellow"/>
              </w:rPr>
              <w:t xml:space="preserve"> erfolgt die Lautstärkeeinstellung bei den meisten marktverfügbaren Monitoren über Untermenüs am Display selbst. Die im Monitor geforderten Lautsprecher bieten keinen funktionellen Mehrwert zu im Endgerät verbauten Soundlösungen. Wir empfehlen daher integrierte Lautsprecher zu streichen.</w:t>
            </w:r>
          </w:p>
          <w:p w:rsidR="009D1B3B" w:rsidRPr="009D1B3B" w:rsidRDefault="009D1B3B" w:rsidP="009D1B3B">
            <w:pPr>
              <w:rPr>
                <w:highlight w:val="yellow"/>
              </w:rPr>
            </w:pPr>
            <w:r w:rsidRPr="009D1B3B">
              <w:rPr>
                <w:highlight w:val="yellow"/>
              </w:rPr>
              <w:t>Vielen Dank!</w:t>
            </w:r>
          </w:p>
        </w:tc>
        <w:tc>
          <w:tcPr>
            <w:cnfStyle w:val="000100000000" w:firstRow="0" w:lastRow="0" w:firstColumn="0" w:lastColumn="1" w:oddVBand="0" w:evenVBand="0" w:oddHBand="0" w:evenHBand="0" w:firstRowFirstColumn="0" w:firstRowLastColumn="0" w:lastRowFirstColumn="0" w:lastRowLastColumn="0"/>
            <w:tcW w:w="5369" w:type="dxa"/>
            <w:shd w:val="clear" w:color="auto" w:fill="auto"/>
          </w:tcPr>
          <w:p w:rsidR="009D1B3B" w:rsidRPr="00167052" w:rsidRDefault="003C677C">
            <w:pPr>
              <w:rPr>
                <w:color w:val="0070C0"/>
                <w:highlight w:val="yellow"/>
              </w:rPr>
            </w:pPr>
            <w:r w:rsidRPr="00167052">
              <w:rPr>
                <w:color w:val="0070C0"/>
                <w:highlight w:val="yellow"/>
              </w:rPr>
              <w:lastRenderedPageBreak/>
              <w:t>Ein integrierter Lautsprecher muss nicht zwingend vorhanden sein.</w:t>
            </w:r>
          </w:p>
          <w:p w:rsidR="00167052" w:rsidRPr="00167052" w:rsidRDefault="00167052">
            <w:pPr>
              <w:rPr>
                <w:color w:val="0070C0"/>
                <w:highlight w:val="yellow"/>
              </w:rPr>
            </w:pPr>
          </w:p>
          <w:p w:rsidR="00167052" w:rsidRPr="00167052" w:rsidRDefault="00167052">
            <w:pPr>
              <w:rPr>
                <w:color w:val="0070C0"/>
                <w:highlight w:val="yellow"/>
              </w:rPr>
            </w:pPr>
            <w:r w:rsidRPr="00167052">
              <w:rPr>
                <w:color w:val="0070C0"/>
                <w:highlight w:val="yellow"/>
              </w:rPr>
              <w:t>Die Anlagen zu den Leistungsbeschreibungen wurden entsprechend angepasst.</w:t>
            </w:r>
          </w:p>
        </w:tc>
      </w:tr>
      <w:tr w:rsidR="009D1B3B" w:rsidTr="00A5096D">
        <w:tc>
          <w:tcPr>
            <w:tcW w:w="704" w:type="dxa"/>
          </w:tcPr>
          <w:p w:rsidR="009D1B3B" w:rsidRDefault="009D1B3B">
            <w:r w:rsidRPr="009D1B3B">
              <w:rPr>
                <w:highlight w:val="yellow"/>
              </w:rPr>
              <w:t>4</w:t>
            </w:r>
          </w:p>
        </w:tc>
        <w:tc>
          <w:tcPr>
            <w:tcW w:w="3119" w:type="dxa"/>
          </w:tcPr>
          <w:p w:rsidR="009D1B3B" w:rsidRDefault="009D1B3B" w:rsidP="009D1B3B">
            <w:pPr>
              <w:rPr>
                <w:highlight w:val="yellow"/>
              </w:rPr>
            </w:pPr>
            <w:r>
              <w:rPr>
                <w:highlight w:val="yellow"/>
              </w:rPr>
              <w:t xml:space="preserve">Anlage </w:t>
            </w:r>
            <w:r w:rsidRPr="009D1B3B">
              <w:rPr>
                <w:highlight w:val="yellow"/>
              </w:rPr>
              <w:t>Leistungsbeschreibung</w:t>
            </w:r>
            <w:r>
              <w:rPr>
                <w:highlight w:val="yellow"/>
              </w:rPr>
              <w:t xml:space="preserve"> </w:t>
            </w:r>
          </w:p>
          <w:p w:rsidR="009D1B3B" w:rsidRPr="009D1B3B" w:rsidRDefault="009D1B3B" w:rsidP="009D1B3B">
            <w:pPr>
              <w:rPr>
                <w:highlight w:val="yellow"/>
              </w:rPr>
            </w:pPr>
            <w:r>
              <w:rPr>
                <w:highlight w:val="yellow"/>
              </w:rPr>
              <w:t>Lose 1 bis 8</w:t>
            </w:r>
          </w:p>
          <w:p w:rsidR="009D1B3B" w:rsidRPr="009D1B3B" w:rsidRDefault="009D1B3B" w:rsidP="009D1B3B">
            <w:pPr>
              <w:rPr>
                <w:highlight w:val="yellow"/>
              </w:rPr>
            </w:pPr>
          </w:p>
          <w:p w:rsidR="009D1B3B" w:rsidRDefault="009D1B3B" w:rsidP="009D1B3B">
            <w:pPr>
              <w:rPr>
                <w:highlight w:val="yellow"/>
              </w:rPr>
            </w:pPr>
            <w:r w:rsidRPr="009D1B3B">
              <w:rPr>
                <w:highlight w:val="yellow"/>
              </w:rPr>
              <w:t>-NEU-</w:t>
            </w:r>
          </w:p>
        </w:tc>
        <w:tc>
          <w:tcPr>
            <w:tcW w:w="5368" w:type="dxa"/>
          </w:tcPr>
          <w:p w:rsidR="009D1B3B" w:rsidRPr="009D1B3B" w:rsidRDefault="009D1B3B" w:rsidP="009D1B3B">
            <w:pPr>
              <w:rPr>
                <w:highlight w:val="yellow"/>
              </w:rPr>
            </w:pPr>
            <w:r w:rsidRPr="009D1B3B">
              <w:rPr>
                <w:highlight w:val="yellow"/>
              </w:rPr>
              <w:t xml:space="preserve">Gemäß den aktuellen Ausschreibungsanforderungen müssen 100 % der angebotenen Monitore über integrierte Lautsprecher verfügen. Wir möchten darauf hinweisen, dass diese Vorgabe den Markt erheblich einschränkt und mehrere führende Hersteller ausschließt. Der Bitkom-Leitfaden empfiehlt ausdrücklich, Lautsprecher nur bei konkretem Bedarf auszuschreiben, da dies das Angebot deutlich reduziert. Zudem wird dort klargestellt, dass Lautsprecher entweder im Bildschirm integriert oder als </w:t>
            </w:r>
            <w:proofErr w:type="spellStart"/>
            <w:r w:rsidRPr="009D1B3B">
              <w:rPr>
                <w:highlight w:val="yellow"/>
              </w:rPr>
              <w:t>Soundbar</w:t>
            </w:r>
            <w:proofErr w:type="spellEnd"/>
            <w:r w:rsidRPr="009D1B3B">
              <w:rPr>
                <w:highlight w:val="yellow"/>
              </w:rPr>
              <w:t xml:space="preserve"> angedockt werden können.</w:t>
            </w:r>
          </w:p>
          <w:p w:rsidR="009D1B3B" w:rsidRDefault="009D1B3B" w:rsidP="009D1B3B">
            <w:r w:rsidRPr="009D1B3B">
              <w:rPr>
                <w:highlight w:val="yellow"/>
              </w:rPr>
              <w:t>Darüber hinaus möchten wir betonen, dass üblicherweise nicht alle Monitore zwingend eine Audioausgabe benötigen. In der ursprünglichen Ausschreibung war nur ein geringer Teil der Geräte mit Soundfunktion vorgesehen, was den tatsächlichen Bedarf widerspiegelt. Endanwender bevorzugen häufig externe Audioausgabesysteme (Headsets oder separate Lautsprecher), die eine höhere Klangqualität und Flexibilität bieten. Integrierte Lautsprecher führen hingegen oft zu geringerer Audioqualität und zusätzlicher Lärmbelästigung am Arbeitsplatz.</w:t>
            </w:r>
          </w:p>
          <w:p w:rsidR="009D1B3B" w:rsidRPr="0070759D" w:rsidRDefault="009D1B3B" w:rsidP="009D1B3B">
            <w:pPr>
              <w:rPr>
                <w:highlight w:val="yellow"/>
              </w:rPr>
            </w:pPr>
            <w:r w:rsidRPr="0070759D">
              <w:rPr>
                <w:highlight w:val="yellow"/>
              </w:rPr>
              <w:lastRenderedPageBreak/>
              <w:t>Einige Monitore weisen aufgrund ihrer Größe darauf hin, dass diese häufig im Dual-Monitor-Betrieb eingesetzt werden (speziell Los 1 und Los 2). Speziell hier ist es aus kaufmännischen sowie Nachhaltigkeitsgründen nicht sinnvoll, in beiden Displays Lautsprecher zu haben.</w:t>
            </w:r>
          </w:p>
          <w:p w:rsidR="009D1B3B" w:rsidRPr="0070759D" w:rsidRDefault="009D1B3B" w:rsidP="009D1B3B">
            <w:pPr>
              <w:rPr>
                <w:highlight w:val="yellow"/>
              </w:rPr>
            </w:pPr>
            <w:r w:rsidRPr="0070759D">
              <w:rPr>
                <w:highlight w:val="yellow"/>
              </w:rPr>
              <w:t>Wir bitten Sie daher, die Anforderung nach eingebauten Lautsprechern zu streichen.</w:t>
            </w:r>
          </w:p>
          <w:p w:rsidR="009D1B3B" w:rsidRDefault="009D1B3B" w:rsidP="009D1B3B">
            <w:r w:rsidRPr="0070759D">
              <w:rPr>
                <w:highlight w:val="yellow"/>
              </w:rPr>
              <w:t>Diese Anpassung würde den Wettbewerb fördern, die wirtschaftlichsten Angebote ermöglichen und gleichzeitig die Bedürfnisse der Endanwender berücksichtigen.</w:t>
            </w:r>
          </w:p>
        </w:tc>
        <w:tc>
          <w:tcPr>
            <w:cnfStyle w:val="000100000000" w:firstRow="0" w:lastRow="0" w:firstColumn="0" w:lastColumn="1" w:oddVBand="0" w:evenVBand="0" w:oddHBand="0" w:evenHBand="0" w:firstRowFirstColumn="0" w:firstRowLastColumn="0" w:lastRowFirstColumn="0" w:lastRowLastColumn="0"/>
            <w:tcW w:w="5369" w:type="dxa"/>
            <w:shd w:val="clear" w:color="auto" w:fill="auto"/>
          </w:tcPr>
          <w:p w:rsidR="009D1B3B" w:rsidRDefault="009D1B3B">
            <w:r w:rsidRPr="009D1B3B">
              <w:rPr>
                <w:color w:val="0070C0"/>
                <w:highlight w:val="yellow"/>
              </w:rPr>
              <w:lastRenderedPageBreak/>
              <w:t>Siehe Antwort zu Frage Nr. 3</w:t>
            </w:r>
          </w:p>
        </w:tc>
      </w:tr>
      <w:tr w:rsidR="00626472" w:rsidTr="00A5096D">
        <w:tc>
          <w:tcPr>
            <w:tcW w:w="704" w:type="dxa"/>
          </w:tcPr>
          <w:p w:rsidR="00626472" w:rsidRPr="009D1B3B" w:rsidRDefault="00626472" w:rsidP="00626472">
            <w:pPr>
              <w:rPr>
                <w:highlight w:val="yellow"/>
              </w:rPr>
            </w:pPr>
            <w:r>
              <w:rPr>
                <w:highlight w:val="yellow"/>
              </w:rPr>
              <w:t>5</w:t>
            </w:r>
          </w:p>
        </w:tc>
        <w:tc>
          <w:tcPr>
            <w:tcW w:w="3119" w:type="dxa"/>
          </w:tcPr>
          <w:p w:rsidR="00626472" w:rsidRDefault="00626472" w:rsidP="00626472">
            <w:pPr>
              <w:rPr>
                <w:highlight w:val="yellow"/>
              </w:rPr>
            </w:pPr>
            <w:proofErr w:type="spellStart"/>
            <w:r w:rsidRPr="00B91866">
              <w:rPr>
                <w:highlight w:val="yellow"/>
              </w:rPr>
              <w:t>Leistungsbeschreibung_Anlage</w:t>
            </w:r>
            <w:proofErr w:type="spellEnd"/>
            <w:r w:rsidRPr="00B91866">
              <w:rPr>
                <w:highlight w:val="yellow"/>
              </w:rPr>
              <w:t xml:space="preserve"> 1 (Zubehör) sowie Preisblatt (VV9)</w:t>
            </w:r>
          </w:p>
          <w:p w:rsidR="00626472" w:rsidRDefault="00626472" w:rsidP="00626472">
            <w:pPr>
              <w:rPr>
                <w:highlight w:val="yellow"/>
              </w:rPr>
            </w:pPr>
          </w:p>
          <w:p w:rsidR="00626472" w:rsidRPr="00B91866" w:rsidRDefault="00626472" w:rsidP="00626472">
            <w:pPr>
              <w:rPr>
                <w:highlight w:val="yellow"/>
              </w:rPr>
            </w:pPr>
            <w:r w:rsidRPr="00477DF7">
              <w:rPr>
                <w:highlight w:val="yellow"/>
              </w:rPr>
              <w:t>NEU</w:t>
            </w:r>
          </w:p>
        </w:tc>
        <w:tc>
          <w:tcPr>
            <w:tcW w:w="5368" w:type="dxa"/>
          </w:tcPr>
          <w:p w:rsidR="00626472" w:rsidRPr="00B91866" w:rsidRDefault="00626472" w:rsidP="00626472">
            <w:pPr>
              <w:rPr>
                <w:highlight w:val="yellow"/>
              </w:rPr>
            </w:pPr>
            <w:r w:rsidRPr="00B91866">
              <w:rPr>
                <w:highlight w:val="yellow"/>
              </w:rPr>
              <w:t>In Los 9 muss die Wandhalterung mit der laufenden Nr. 5 (Preisblatt (VV9)), geeignet für Bildschirme bis mind. 27“, gemäß Leistungsbeschreibung eine maximale Traglast von mindestens 10kg aufweisen.</w:t>
            </w:r>
          </w:p>
          <w:p w:rsidR="00626472" w:rsidRPr="00B91866" w:rsidRDefault="00626472" w:rsidP="00626472">
            <w:pPr>
              <w:rPr>
                <w:highlight w:val="yellow"/>
              </w:rPr>
            </w:pPr>
            <w:r w:rsidRPr="00B91866">
              <w:rPr>
                <w:highlight w:val="yellow"/>
              </w:rPr>
              <w:t xml:space="preserve">Viele Halterungen unterschiedlicher Hersteller unterstützten offiziell eine Traglast von bis zu 9kg. Da herstellerübergreifend nahezu sämtliche Monitore mit einer Diagonale von 27“ ein Gewicht ohne </w:t>
            </w:r>
            <w:proofErr w:type="spellStart"/>
            <w:r w:rsidRPr="00B91866">
              <w:rPr>
                <w:highlight w:val="yellow"/>
              </w:rPr>
              <w:t>Standfuß</w:t>
            </w:r>
            <w:proofErr w:type="spellEnd"/>
            <w:r w:rsidRPr="00B91866">
              <w:rPr>
                <w:highlight w:val="yellow"/>
              </w:rPr>
              <w:t xml:space="preserve"> zwischen 2,5kg und 6kg aufweisen, erscheint dies für den vorgesehenen Einsatzzweck mehr als ausreichend.</w:t>
            </w:r>
          </w:p>
          <w:p w:rsidR="00626472" w:rsidRPr="00B91866" w:rsidRDefault="00626472" w:rsidP="00626472">
            <w:pPr>
              <w:rPr>
                <w:highlight w:val="yellow"/>
              </w:rPr>
            </w:pPr>
            <w:r w:rsidRPr="00B91866">
              <w:rPr>
                <w:highlight w:val="yellow"/>
              </w:rPr>
              <w:t>Gehen wir daher recht in der Annahme, dass zugunsten eines möglichst wirtschaftlichen Angebots für die laufende Nr. 5 (Preisblatt (VV9)) auch Halterungen mit einer Traglast von 9 kg angeboten werden dürfen?</w:t>
            </w:r>
          </w:p>
        </w:tc>
        <w:tc>
          <w:tcPr>
            <w:cnfStyle w:val="000100000000" w:firstRow="0" w:lastRow="0" w:firstColumn="0" w:lastColumn="1" w:oddVBand="0" w:evenVBand="0" w:oddHBand="0" w:evenHBand="0" w:firstRowFirstColumn="0" w:firstRowLastColumn="0" w:lastRowFirstColumn="0" w:lastRowLastColumn="0"/>
            <w:tcW w:w="5369" w:type="dxa"/>
            <w:shd w:val="clear" w:color="auto" w:fill="auto"/>
          </w:tcPr>
          <w:p w:rsidR="00626472" w:rsidRPr="00BC1F6F" w:rsidRDefault="00626472" w:rsidP="00626472">
            <w:pPr>
              <w:rPr>
                <w:color w:val="0070C0"/>
                <w:highlight w:val="yellow"/>
              </w:rPr>
            </w:pPr>
            <w:r w:rsidRPr="00BC1F6F">
              <w:rPr>
                <w:color w:val="0070C0"/>
                <w:highlight w:val="yellow"/>
              </w:rPr>
              <w:t>Die maximale Traglast wird für die Halterungen Nr. 1 bis Nr. 5 angepasst.</w:t>
            </w:r>
          </w:p>
          <w:p w:rsidR="00626472" w:rsidRPr="00BC1F6F" w:rsidRDefault="00626472" w:rsidP="00626472">
            <w:pPr>
              <w:rPr>
                <w:color w:val="0070C0"/>
                <w:highlight w:val="yellow"/>
              </w:rPr>
            </w:pPr>
            <w:r w:rsidRPr="00BC1F6F">
              <w:rPr>
                <w:color w:val="0070C0"/>
                <w:highlight w:val="yellow"/>
              </w:rPr>
              <w:t>Die Traglast je Halterung ist dem Dokument „</w:t>
            </w:r>
            <w:proofErr w:type="spellStart"/>
            <w:r w:rsidRPr="00BC1F6F">
              <w:rPr>
                <w:color w:val="0070C0"/>
                <w:highlight w:val="yellow"/>
              </w:rPr>
              <w:t>Leistungsbeschreibung_Anlage</w:t>
            </w:r>
            <w:proofErr w:type="spellEnd"/>
            <w:r w:rsidRPr="00BC1F6F">
              <w:rPr>
                <w:color w:val="0070C0"/>
                <w:highlight w:val="yellow"/>
              </w:rPr>
              <w:t xml:space="preserve"> 1 (Zubehör)_v2“ zu entnehmen.</w:t>
            </w:r>
          </w:p>
          <w:p w:rsidR="00626472" w:rsidRPr="00BC1F6F" w:rsidRDefault="00626472" w:rsidP="00626472">
            <w:pPr>
              <w:rPr>
                <w:color w:val="0070C0"/>
                <w:highlight w:val="yellow"/>
              </w:rPr>
            </w:pPr>
          </w:p>
          <w:p w:rsidR="00626472" w:rsidRPr="00BC1F6F" w:rsidRDefault="00626472" w:rsidP="00626472">
            <w:pPr>
              <w:rPr>
                <w:color w:val="0070C0"/>
                <w:highlight w:val="yellow"/>
              </w:rPr>
            </w:pPr>
            <w:r w:rsidRPr="00BC1F6F">
              <w:rPr>
                <w:color w:val="0070C0"/>
                <w:highlight w:val="yellow"/>
              </w:rPr>
              <w:t>Hinweis:</w:t>
            </w:r>
          </w:p>
          <w:p w:rsidR="00626472" w:rsidRPr="00BC1F6F" w:rsidRDefault="00626472" w:rsidP="00626472">
            <w:pPr>
              <w:rPr>
                <w:color w:val="0070C0"/>
                <w:highlight w:val="yellow"/>
              </w:rPr>
            </w:pPr>
            <w:r w:rsidRPr="00BC1F6F">
              <w:rPr>
                <w:color w:val="0070C0"/>
                <w:highlight w:val="yellow"/>
              </w:rPr>
              <w:t>Aufgrund dieser Anpassung wird das geforderte max. Gewicht der Monitore in den Anlagen zur Leistungsbeschreibung in Los 1 bis Los 8 entsprechend angepasst.</w:t>
            </w:r>
          </w:p>
        </w:tc>
      </w:tr>
      <w:tr w:rsidR="00626472" w:rsidTr="00A5096D">
        <w:tc>
          <w:tcPr>
            <w:tcW w:w="704" w:type="dxa"/>
          </w:tcPr>
          <w:p w:rsidR="00626472" w:rsidRDefault="00626472" w:rsidP="00626472">
            <w:pPr>
              <w:rPr>
                <w:highlight w:val="yellow"/>
              </w:rPr>
            </w:pPr>
          </w:p>
        </w:tc>
        <w:tc>
          <w:tcPr>
            <w:tcW w:w="3119" w:type="dxa"/>
          </w:tcPr>
          <w:p w:rsidR="00626472" w:rsidRDefault="00626472" w:rsidP="00626472">
            <w:pPr>
              <w:rPr>
                <w:highlight w:val="yellow"/>
              </w:rPr>
            </w:pPr>
            <w:proofErr w:type="spellStart"/>
            <w:r w:rsidRPr="00B91866">
              <w:rPr>
                <w:highlight w:val="yellow"/>
              </w:rPr>
              <w:t>Leistungsbeschreibung_Anlage</w:t>
            </w:r>
            <w:proofErr w:type="spellEnd"/>
            <w:r w:rsidRPr="00B91866">
              <w:rPr>
                <w:highlight w:val="yellow"/>
              </w:rPr>
              <w:t xml:space="preserve"> 1 (Zubehör) sowie Preisblatt (VV9)</w:t>
            </w:r>
          </w:p>
          <w:p w:rsidR="00626472" w:rsidRDefault="00626472" w:rsidP="00626472">
            <w:pPr>
              <w:rPr>
                <w:highlight w:val="yellow"/>
              </w:rPr>
            </w:pPr>
          </w:p>
          <w:p w:rsidR="00626472" w:rsidRPr="00B91866" w:rsidRDefault="00626472" w:rsidP="00626472">
            <w:pPr>
              <w:rPr>
                <w:highlight w:val="yellow"/>
              </w:rPr>
            </w:pPr>
            <w:r w:rsidRPr="00477DF7">
              <w:rPr>
                <w:highlight w:val="yellow"/>
              </w:rPr>
              <w:lastRenderedPageBreak/>
              <w:t>NEU</w:t>
            </w:r>
          </w:p>
        </w:tc>
        <w:tc>
          <w:tcPr>
            <w:tcW w:w="5368" w:type="dxa"/>
          </w:tcPr>
          <w:p w:rsidR="00626472" w:rsidRPr="00B91866" w:rsidRDefault="00626472" w:rsidP="00626472">
            <w:pPr>
              <w:rPr>
                <w:highlight w:val="yellow"/>
              </w:rPr>
            </w:pPr>
            <w:r w:rsidRPr="00B91866">
              <w:rPr>
                <w:highlight w:val="yellow"/>
              </w:rPr>
              <w:lastRenderedPageBreak/>
              <w:t xml:space="preserve">In Los 9 müssen gemäß der Leistungsbeschreibung die Monitor-Halterungen mit den laufenden Nummern 1 bis 3 jeweils VESA-Aufnahmepunkte „75x75 oder 100x100“, die Halterungen Nr. 4 und 5 „75x75 oder 100x100 oder </w:t>
            </w:r>
            <w:r w:rsidRPr="00B91866">
              <w:rPr>
                <w:highlight w:val="yellow"/>
              </w:rPr>
              <w:lastRenderedPageBreak/>
              <w:t>200x200“, und die Halterung Nr. 6 „75x75 oder 100x100 bis 200x200“ aufweisen.</w:t>
            </w:r>
          </w:p>
          <w:p w:rsidR="00626472" w:rsidRPr="00B91866" w:rsidRDefault="00626472" w:rsidP="00626472">
            <w:pPr>
              <w:rPr>
                <w:highlight w:val="yellow"/>
              </w:rPr>
            </w:pPr>
            <w:r w:rsidRPr="00B91866">
              <w:rPr>
                <w:highlight w:val="yellow"/>
              </w:rPr>
              <w:t>Gemäß den Leistungsbeschreibungen für die Los 1 bis 8 müssen alle anzubietenden Monitore über eine VESA 75x75 oder eine VESA 100x100 Montage-Schnittstelle verfügen, was dem marktüblichen Standard entspricht.</w:t>
            </w:r>
          </w:p>
          <w:p w:rsidR="00626472" w:rsidRPr="00B91866" w:rsidRDefault="00626472" w:rsidP="00626472">
            <w:pPr>
              <w:rPr>
                <w:highlight w:val="yellow"/>
              </w:rPr>
            </w:pPr>
            <w:r w:rsidRPr="00B91866">
              <w:rPr>
                <w:highlight w:val="yellow"/>
              </w:rPr>
              <w:t>Wir vermuten ein redaktionelles Versehen in Los 9, da diese Anforderung in Ihrer aktuellen Form dazu führen kann, dass die Halterungen ggf. nicht mit den Monitoren kompatibel sind. Um die Kompatibilität sicherzustellen, sollten alle Halterungen über VESA 75x75 und über VESA 100x100 Aufnahmepunkte verfügen. Andere VESA-Normen wie z.B. 200x200 sollten nicht erforderlich, aber zulässig sein, sofern diese nur zusätzlich zu VESA 75x75 und 100x100 vorhanden sind, bzw. diese nicht ersetzen.</w:t>
            </w:r>
          </w:p>
          <w:p w:rsidR="00626472" w:rsidRPr="00B91866" w:rsidRDefault="00626472" w:rsidP="00626472">
            <w:pPr>
              <w:rPr>
                <w:highlight w:val="yellow"/>
              </w:rPr>
            </w:pPr>
            <w:r w:rsidRPr="00B91866">
              <w:rPr>
                <w:highlight w:val="yellow"/>
              </w:rPr>
              <w:t>Gehen wir recht in der Annahme, dass alle in Los 9 angebotenen Halterungen über VESA 75x75 und über VESA 100x100 Aufnahmepunkte verfügen müssen?</w:t>
            </w:r>
          </w:p>
          <w:p w:rsidR="00626472" w:rsidRPr="00B91866" w:rsidRDefault="00626472" w:rsidP="00626472">
            <w:pPr>
              <w:rPr>
                <w:iCs/>
                <w:highlight w:val="yellow"/>
              </w:rPr>
            </w:pPr>
          </w:p>
        </w:tc>
        <w:tc>
          <w:tcPr>
            <w:cnfStyle w:val="000100000000" w:firstRow="0" w:lastRow="0" w:firstColumn="0" w:lastColumn="1" w:oddVBand="0" w:evenVBand="0" w:oddHBand="0" w:evenHBand="0" w:firstRowFirstColumn="0" w:firstRowLastColumn="0" w:lastRowFirstColumn="0" w:lastRowLastColumn="0"/>
            <w:tcW w:w="5369" w:type="dxa"/>
            <w:shd w:val="clear" w:color="auto" w:fill="auto"/>
          </w:tcPr>
          <w:p w:rsidR="00626472" w:rsidRPr="00BC1F6F" w:rsidRDefault="00626472" w:rsidP="00626472">
            <w:pPr>
              <w:rPr>
                <w:color w:val="0070C0"/>
                <w:highlight w:val="yellow"/>
              </w:rPr>
            </w:pPr>
            <w:r w:rsidRPr="00BC1F6F">
              <w:rPr>
                <w:color w:val="0070C0"/>
                <w:highlight w:val="yellow"/>
              </w:rPr>
              <w:lastRenderedPageBreak/>
              <w:t>Die Anforderungen an die VESA-Halterung wurden entsprechend dem Hinweis für die Halterungen Nr. 1 bis Nr. 5 angepasst.</w:t>
            </w:r>
          </w:p>
          <w:p w:rsidR="00626472" w:rsidRPr="00BC1F6F" w:rsidRDefault="00626472" w:rsidP="00626472">
            <w:pPr>
              <w:rPr>
                <w:color w:val="0070C0"/>
                <w:highlight w:val="yellow"/>
              </w:rPr>
            </w:pPr>
            <w:r w:rsidRPr="00BC1F6F">
              <w:rPr>
                <w:color w:val="0070C0"/>
                <w:highlight w:val="yellow"/>
              </w:rPr>
              <w:lastRenderedPageBreak/>
              <w:t xml:space="preserve">Für die Wandhalterung für Bildschirme bis 43“ gilt jedoch: </w:t>
            </w:r>
            <w:r w:rsidRPr="00BC1F6F">
              <w:rPr>
                <w:color w:val="0070C0"/>
              </w:rPr>
              <w:t xml:space="preserve">  </w:t>
            </w:r>
            <w:r w:rsidRPr="00BC1F6F">
              <w:rPr>
                <w:color w:val="0070C0"/>
                <w:highlight w:val="yellow"/>
              </w:rPr>
              <w:t>mind. 75x75 und 100x100 und 200x100 und 200x200</w:t>
            </w:r>
          </w:p>
          <w:p w:rsidR="00626472" w:rsidRPr="00BC1F6F" w:rsidRDefault="00626472" w:rsidP="00626472">
            <w:pPr>
              <w:rPr>
                <w:color w:val="0070C0"/>
                <w:highlight w:val="yellow"/>
              </w:rPr>
            </w:pPr>
            <w:r w:rsidRPr="00BC1F6F">
              <w:rPr>
                <w:color w:val="0070C0"/>
                <w:highlight w:val="yellow"/>
              </w:rPr>
              <w:t>Hinweis:</w:t>
            </w:r>
          </w:p>
          <w:p w:rsidR="00626472" w:rsidRPr="00BC1F6F" w:rsidRDefault="00626472" w:rsidP="00626472">
            <w:pPr>
              <w:rPr>
                <w:color w:val="0070C0"/>
                <w:highlight w:val="yellow"/>
              </w:rPr>
            </w:pPr>
            <w:r w:rsidRPr="00BC1F6F">
              <w:rPr>
                <w:color w:val="0070C0"/>
                <w:highlight w:val="yellow"/>
              </w:rPr>
              <w:t xml:space="preserve">Aufgrund dieser Anpassung wird </w:t>
            </w:r>
            <w:r>
              <w:rPr>
                <w:color w:val="0070C0"/>
                <w:highlight w:val="yellow"/>
              </w:rPr>
              <w:t>die Anforderung an die VESA-Halterung</w:t>
            </w:r>
            <w:r w:rsidRPr="00BC1F6F">
              <w:rPr>
                <w:color w:val="0070C0"/>
                <w:highlight w:val="yellow"/>
              </w:rPr>
              <w:t xml:space="preserve"> in den Anlagen zur Leistungsbeschreibung in Los </w:t>
            </w:r>
            <w:r>
              <w:rPr>
                <w:color w:val="0070C0"/>
                <w:highlight w:val="yellow"/>
              </w:rPr>
              <w:t>5</w:t>
            </w:r>
            <w:r w:rsidRPr="00BC1F6F">
              <w:rPr>
                <w:color w:val="0070C0"/>
                <w:highlight w:val="yellow"/>
              </w:rPr>
              <w:t xml:space="preserve"> bis Los </w:t>
            </w:r>
            <w:r>
              <w:rPr>
                <w:color w:val="0070C0"/>
                <w:highlight w:val="yellow"/>
              </w:rPr>
              <w:t>6</w:t>
            </w:r>
            <w:r w:rsidRPr="00BC1F6F">
              <w:rPr>
                <w:color w:val="0070C0"/>
                <w:highlight w:val="yellow"/>
              </w:rPr>
              <w:t xml:space="preserve"> entsprechend </w:t>
            </w:r>
            <w:r>
              <w:rPr>
                <w:color w:val="0070C0"/>
                <w:highlight w:val="yellow"/>
              </w:rPr>
              <w:t>korrigiert</w:t>
            </w:r>
            <w:r w:rsidRPr="00BC1F6F">
              <w:rPr>
                <w:color w:val="0070C0"/>
                <w:highlight w:val="yellow"/>
              </w:rPr>
              <w:t>.</w:t>
            </w:r>
          </w:p>
        </w:tc>
      </w:tr>
      <w:tr w:rsidR="004D1114" w:rsidTr="00D034CA">
        <w:tc>
          <w:tcPr>
            <w:tcW w:w="704" w:type="dxa"/>
          </w:tcPr>
          <w:p w:rsidR="004D1114" w:rsidRPr="00422798" w:rsidRDefault="004D1114" w:rsidP="004D1114">
            <w:pPr>
              <w:rPr>
                <w:highlight w:val="yellow"/>
              </w:rPr>
            </w:pPr>
            <w:bookmarkStart w:id="0" w:name="_GoBack"/>
            <w:bookmarkEnd w:id="0"/>
            <w:r w:rsidRPr="00422798">
              <w:rPr>
                <w:color w:val="0070C0"/>
                <w:highlight w:val="yellow"/>
              </w:rPr>
              <w:lastRenderedPageBreak/>
              <w:t>H1</w:t>
            </w:r>
          </w:p>
        </w:tc>
        <w:tc>
          <w:tcPr>
            <w:tcW w:w="3119" w:type="dxa"/>
          </w:tcPr>
          <w:p w:rsidR="004D1114" w:rsidRPr="00422798" w:rsidRDefault="004D1114" w:rsidP="004D1114">
            <w:pPr>
              <w:rPr>
                <w:highlight w:val="yellow"/>
              </w:rPr>
            </w:pPr>
            <w:r w:rsidRPr="00422798">
              <w:rPr>
                <w:color w:val="0070C0"/>
                <w:highlight w:val="yellow"/>
              </w:rPr>
              <w:t>Hinweis der Vergabestelle</w:t>
            </w:r>
          </w:p>
        </w:tc>
        <w:tc>
          <w:tcPr>
            <w:cnfStyle w:val="000100000000" w:firstRow="0" w:lastRow="0" w:firstColumn="0" w:lastColumn="1" w:oddVBand="0" w:evenVBand="0" w:oddHBand="0" w:evenHBand="0" w:firstRowFirstColumn="0" w:firstRowLastColumn="0" w:lastRowFirstColumn="0" w:lastRowLastColumn="0"/>
            <w:tcW w:w="10737" w:type="dxa"/>
            <w:gridSpan w:val="2"/>
          </w:tcPr>
          <w:p w:rsidR="004D1114" w:rsidRPr="00422798" w:rsidRDefault="004D1114" w:rsidP="004D1114">
            <w:pPr>
              <w:rPr>
                <w:b/>
                <w:color w:val="0070C0"/>
                <w:highlight w:val="yellow"/>
              </w:rPr>
            </w:pPr>
            <w:r w:rsidRPr="00422798">
              <w:rPr>
                <w:b/>
                <w:color w:val="0070C0"/>
                <w:highlight w:val="yellow"/>
              </w:rPr>
              <w:t>Hinweis der Vergabestelle</w:t>
            </w:r>
          </w:p>
          <w:p w:rsidR="004D1114" w:rsidRPr="00422798" w:rsidRDefault="004D1114" w:rsidP="004D1114">
            <w:pPr>
              <w:rPr>
                <w:color w:val="0070C0"/>
                <w:highlight w:val="yellow"/>
              </w:rPr>
            </w:pPr>
            <w:r w:rsidRPr="00422798">
              <w:rPr>
                <w:color w:val="0070C0"/>
                <w:highlight w:val="yellow"/>
              </w:rPr>
              <w:t>An den folgenden Dokumenten wurden Anpassungen vorgenommen. Bitte beachten Sie die Änderungen gegenüber den Vorversionen und nutzen Sie die neu erstellten Dokumente zur weiteren Bearbeitung Ihrer Angebote. Die aktualisierten Dokumente werden für sie auf der E-Vergabe-Plattform zum Download zur Verfügung gestellt.</w:t>
            </w:r>
          </w:p>
          <w:p w:rsidR="004D1114" w:rsidRPr="00422798" w:rsidRDefault="004D1114" w:rsidP="004D1114">
            <w:pPr>
              <w:rPr>
                <w:color w:val="0070C0"/>
                <w:highlight w:val="yellow"/>
              </w:rPr>
            </w:pPr>
            <w:r w:rsidRPr="00422798">
              <w:rPr>
                <w:color w:val="0070C0"/>
                <w:highlight w:val="yellow"/>
              </w:rPr>
              <w:t>Los 1 und 2:</w:t>
            </w:r>
          </w:p>
          <w:p w:rsidR="004D1114" w:rsidRPr="00422798" w:rsidRDefault="004D1114" w:rsidP="004D1114">
            <w:pPr>
              <w:rPr>
                <w:color w:val="0070C0"/>
                <w:highlight w:val="yellow"/>
              </w:rPr>
            </w:pPr>
            <w:r w:rsidRPr="00422798">
              <w:rPr>
                <w:color w:val="0070C0"/>
                <w:highlight w:val="yellow"/>
              </w:rPr>
              <w:t>„</w:t>
            </w:r>
            <w:proofErr w:type="spellStart"/>
            <w:r w:rsidRPr="00422798">
              <w:rPr>
                <w:color w:val="0070C0"/>
                <w:highlight w:val="yellow"/>
              </w:rPr>
              <w:t>Leistungsbeschreibung_Anlage</w:t>
            </w:r>
            <w:proofErr w:type="spellEnd"/>
            <w:r w:rsidRPr="00422798">
              <w:rPr>
                <w:color w:val="0070C0"/>
                <w:highlight w:val="yellow"/>
              </w:rPr>
              <w:t xml:space="preserve"> 1 (</w:t>
            </w:r>
            <w:proofErr w:type="spellStart"/>
            <w:r w:rsidRPr="00422798">
              <w:rPr>
                <w:color w:val="0070C0"/>
                <w:highlight w:val="yellow"/>
              </w:rPr>
              <w:t>Full</w:t>
            </w:r>
            <w:proofErr w:type="spellEnd"/>
            <w:r w:rsidRPr="00422798">
              <w:rPr>
                <w:color w:val="0070C0"/>
                <w:highlight w:val="yellow"/>
              </w:rPr>
              <w:t>-</w:t>
            </w:r>
            <w:proofErr w:type="gramStart"/>
            <w:r w:rsidRPr="00422798">
              <w:rPr>
                <w:color w:val="0070C0"/>
                <w:highlight w:val="yellow"/>
              </w:rPr>
              <w:t>HD)_</w:t>
            </w:r>
            <w:proofErr w:type="gramEnd"/>
            <w:r w:rsidRPr="00422798">
              <w:rPr>
                <w:color w:val="0070C0"/>
                <w:highlight w:val="yellow"/>
              </w:rPr>
              <w:t>v2“</w:t>
            </w:r>
          </w:p>
          <w:p w:rsidR="004D1114" w:rsidRPr="00422798" w:rsidRDefault="004D1114" w:rsidP="004D1114">
            <w:pPr>
              <w:rPr>
                <w:color w:val="0070C0"/>
                <w:highlight w:val="yellow"/>
              </w:rPr>
            </w:pPr>
          </w:p>
          <w:p w:rsidR="004D1114" w:rsidRPr="00422798" w:rsidRDefault="004D1114" w:rsidP="004D1114">
            <w:pPr>
              <w:rPr>
                <w:color w:val="0070C0"/>
                <w:highlight w:val="yellow"/>
              </w:rPr>
            </w:pPr>
            <w:r w:rsidRPr="00422798">
              <w:rPr>
                <w:color w:val="0070C0"/>
                <w:highlight w:val="yellow"/>
              </w:rPr>
              <w:lastRenderedPageBreak/>
              <w:t>Los 3 und 4:</w:t>
            </w:r>
          </w:p>
          <w:p w:rsidR="004D1114" w:rsidRPr="00422798" w:rsidRDefault="004D1114" w:rsidP="004D1114">
            <w:pPr>
              <w:rPr>
                <w:color w:val="0070C0"/>
                <w:highlight w:val="yellow"/>
              </w:rPr>
            </w:pPr>
            <w:r w:rsidRPr="00422798">
              <w:rPr>
                <w:color w:val="0070C0"/>
                <w:highlight w:val="yellow"/>
              </w:rPr>
              <w:t>„</w:t>
            </w:r>
            <w:proofErr w:type="spellStart"/>
            <w:r w:rsidRPr="00422798">
              <w:rPr>
                <w:color w:val="0070C0"/>
                <w:highlight w:val="yellow"/>
              </w:rPr>
              <w:t>Leistungsbeschreibung_Anlage</w:t>
            </w:r>
            <w:proofErr w:type="spellEnd"/>
            <w:r w:rsidRPr="00422798">
              <w:rPr>
                <w:color w:val="0070C0"/>
                <w:highlight w:val="yellow"/>
              </w:rPr>
              <w:t xml:space="preserve"> 1 (WQHD)_v2“</w:t>
            </w:r>
          </w:p>
          <w:p w:rsidR="004D1114" w:rsidRPr="00422798" w:rsidRDefault="004D1114" w:rsidP="004D1114">
            <w:pPr>
              <w:rPr>
                <w:color w:val="0070C0"/>
                <w:highlight w:val="yellow"/>
              </w:rPr>
            </w:pPr>
          </w:p>
          <w:p w:rsidR="004D1114" w:rsidRPr="00422798" w:rsidRDefault="004D1114" w:rsidP="004D1114">
            <w:pPr>
              <w:rPr>
                <w:color w:val="0070C0"/>
                <w:highlight w:val="yellow"/>
              </w:rPr>
            </w:pPr>
            <w:r w:rsidRPr="00422798">
              <w:rPr>
                <w:color w:val="0070C0"/>
                <w:highlight w:val="yellow"/>
              </w:rPr>
              <w:t>Los 5 und 6:</w:t>
            </w:r>
          </w:p>
          <w:p w:rsidR="004D1114" w:rsidRPr="00422798" w:rsidRDefault="004D1114" w:rsidP="004D1114">
            <w:pPr>
              <w:rPr>
                <w:color w:val="0070C0"/>
                <w:highlight w:val="yellow"/>
              </w:rPr>
            </w:pPr>
            <w:r w:rsidRPr="00422798">
              <w:rPr>
                <w:color w:val="0070C0"/>
                <w:highlight w:val="yellow"/>
              </w:rPr>
              <w:t>„</w:t>
            </w:r>
            <w:proofErr w:type="spellStart"/>
            <w:r w:rsidRPr="00422798">
              <w:rPr>
                <w:color w:val="0070C0"/>
                <w:highlight w:val="yellow"/>
              </w:rPr>
              <w:t>Leistungsbeschreibung_Anlage</w:t>
            </w:r>
            <w:proofErr w:type="spellEnd"/>
            <w:r w:rsidRPr="00422798">
              <w:rPr>
                <w:color w:val="0070C0"/>
                <w:highlight w:val="yellow"/>
              </w:rPr>
              <w:t xml:space="preserve"> 1 (4</w:t>
            </w:r>
            <w:proofErr w:type="gramStart"/>
            <w:r w:rsidRPr="00422798">
              <w:rPr>
                <w:color w:val="0070C0"/>
                <w:highlight w:val="yellow"/>
              </w:rPr>
              <w:t>K)_</w:t>
            </w:r>
            <w:proofErr w:type="gramEnd"/>
            <w:r w:rsidRPr="00422798">
              <w:rPr>
                <w:color w:val="0070C0"/>
                <w:highlight w:val="yellow"/>
              </w:rPr>
              <w:t>v2“</w:t>
            </w:r>
          </w:p>
          <w:p w:rsidR="004D1114" w:rsidRPr="00422798" w:rsidRDefault="004D1114" w:rsidP="004D1114">
            <w:pPr>
              <w:rPr>
                <w:color w:val="0070C0"/>
                <w:highlight w:val="yellow"/>
              </w:rPr>
            </w:pPr>
          </w:p>
          <w:p w:rsidR="004D1114" w:rsidRPr="00422798" w:rsidRDefault="004D1114" w:rsidP="004D1114">
            <w:pPr>
              <w:rPr>
                <w:color w:val="0070C0"/>
                <w:highlight w:val="yellow"/>
              </w:rPr>
            </w:pPr>
            <w:r w:rsidRPr="00422798">
              <w:rPr>
                <w:color w:val="0070C0"/>
                <w:highlight w:val="yellow"/>
              </w:rPr>
              <w:t>Los 7 und 8:</w:t>
            </w:r>
          </w:p>
          <w:p w:rsidR="004D1114" w:rsidRPr="00422798" w:rsidRDefault="004D1114" w:rsidP="004D1114">
            <w:pPr>
              <w:rPr>
                <w:color w:val="0070C0"/>
                <w:highlight w:val="yellow"/>
              </w:rPr>
            </w:pPr>
            <w:r w:rsidRPr="00422798">
              <w:rPr>
                <w:color w:val="0070C0"/>
                <w:highlight w:val="yellow"/>
              </w:rPr>
              <w:t>„</w:t>
            </w:r>
            <w:proofErr w:type="spellStart"/>
            <w:r w:rsidRPr="00422798">
              <w:rPr>
                <w:color w:val="0070C0"/>
                <w:highlight w:val="yellow"/>
              </w:rPr>
              <w:t>Leistungsbeschreibung_Anlage</w:t>
            </w:r>
            <w:proofErr w:type="spellEnd"/>
            <w:r w:rsidRPr="00422798">
              <w:rPr>
                <w:color w:val="0070C0"/>
                <w:highlight w:val="yellow"/>
              </w:rPr>
              <w:t xml:space="preserve"> 1 (</w:t>
            </w:r>
            <w:proofErr w:type="spellStart"/>
            <w:r w:rsidRPr="00422798">
              <w:rPr>
                <w:color w:val="0070C0"/>
                <w:highlight w:val="yellow"/>
              </w:rPr>
              <w:t>Curved</w:t>
            </w:r>
            <w:proofErr w:type="spellEnd"/>
            <w:r w:rsidRPr="00422798">
              <w:rPr>
                <w:color w:val="0070C0"/>
                <w:highlight w:val="yellow"/>
              </w:rPr>
              <w:t>)_v2“</w:t>
            </w:r>
          </w:p>
          <w:p w:rsidR="004D1114" w:rsidRPr="00422798" w:rsidRDefault="004D1114" w:rsidP="004D1114">
            <w:pPr>
              <w:rPr>
                <w:color w:val="0070C0"/>
                <w:highlight w:val="yellow"/>
              </w:rPr>
            </w:pPr>
          </w:p>
          <w:p w:rsidR="004D1114" w:rsidRPr="00422798" w:rsidRDefault="004D1114" w:rsidP="004D1114">
            <w:pPr>
              <w:rPr>
                <w:color w:val="0070C0"/>
                <w:highlight w:val="yellow"/>
              </w:rPr>
            </w:pPr>
            <w:r w:rsidRPr="00422798">
              <w:rPr>
                <w:color w:val="0070C0"/>
                <w:highlight w:val="yellow"/>
              </w:rPr>
              <w:t>Los 9:</w:t>
            </w:r>
          </w:p>
          <w:p w:rsidR="004D1114" w:rsidRPr="00422798" w:rsidRDefault="004D1114" w:rsidP="004D1114">
            <w:pPr>
              <w:rPr>
                <w:color w:val="0070C0"/>
                <w:highlight w:val="yellow"/>
              </w:rPr>
            </w:pPr>
            <w:r w:rsidRPr="00422798">
              <w:rPr>
                <w:color w:val="0070C0"/>
                <w:highlight w:val="yellow"/>
              </w:rPr>
              <w:t>„</w:t>
            </w:r>
            <w:proofErr w:type="spellStart"/>
            <w:r w:rsidRPr="00422798">
              <w:rPr>
                <w:color w:val="0070C0"/>
                <w:highlight w:val="yellow"/>
              </w:rPr>
              <w:t>Leistungsbeschreibung_Anlage</w:t>
            </w:r>
            <w:proofErr w:type="spellEnd"/>
            <w:r w:rsidRPr="00422798">
              <w:rPr>
                <w:color w:val="0070C0"/>
                <w:highlight w:val="yellow"/>
              </w:rPr>
              <w:t xml:space="preserve"> 1 (Zubehör)_v2“</w:t>
            </w:r>
          </w:p>
          <w:p w:rsidR="004D1114" w:rsidRPr="00422798" w:rsidRDefault="004D1114" w:rsidP="004D1114">
            <w:pPr>
              <w:rPr>
                <w:color w:val="0070C0"/>
                <w:highlight w:val="yellow"/>
              </w:rPr>
            </w:pPr>
          </w:p>
          <w:p w:rsidR="004D1114" w:rsidRPr="00422798" w:rsidRDefault="004D1114" w:rsidP="004D1114">
            <w:pPr>
              <w:rPr>
                <w:color w:val="0070C0"/>
                <w:highlight w:val="yellow"/>
              </w:rPr>
            </w:pPr>
          </w:p>
        </w:tc>
      </w:tr>
    </w:tbl>
    <w:p w:rsidR="00273A6E" w:rsidRDefault="001838EA">
      <w:pPr>
        <w:pStyle w:val="berschrift4"/>
      </w:pPr>
      <w:r>
        <w:lastRenderedPageBreak/>
        <w:t>Hinweise</w:t>
      </w:r>
    </w:p>
    <w:p w:rsidR="00273A6E" w:rsidRDefault="001838EA">
      <w:pPr>
        <w:pStyle w:val="Hinweis"/>
      </w:pPr>
      <w:r>
        <w:t>Für den Inhalt der Fragen ist der Fragestellende verantwortlich.</w:t>
      </w:r>
    </w:p>
    <w:p w:rsidR="00273A6E" w:rsidRDefault="001838EA">
      <w:pPr>
        <w:pStyle w:val="Hinweis"/>
      </w:pPr>
      <w:r>
        <w:t>Bitte prüfen Sie, ob alle Ihre Fragen vollständig und richtig in die Bieterfragen übernommen wurden. Fehlende Fragen sind der Vergabestelle unverzüglich zu melden.</w:t>
      </w:r>
    </w:p>
    <w:p w:rsidR="00273A6E" w:rsidRDefault="001838EA">
      <w:pPr>
        <w:pStyle w:val="Hinweis"/>
      </w:pPr>
      <w:r>
        <w:t>Bitte beachten Sie, dass Bieterfragen zum Verfahren spätestens 8 Tage vor Ablauf der Angebotsfrist übermittelt werden sollen. Spätere Anfragen können unberücksichtigt bleiben.</w:t>
      </w:r>
    </w:p>
    <w:p w:rsidR="003C2CD8" w:rsidRDefault="003C2CD8" w:rsidP="003C2CD8">
      <w:pPr>
        <w:pStyle w:val="Hinweis"/>
      </w:pPr>
      <w:r w:rsidRPr="00B639BF">
        <w:t xml:space="preserve">Neue Fragen und Antworten </w:t>
      </w:r>
      <w:r>
        <w:t>sowie</w:t>
      </w:r>
      <w:r w:rsidRPr="00B639BF">
        <w:t xml:space="preserve"> Änderungen zur Vorversion werden mit „NEU:“ gekennzeichnet und gelb hinterlegt. </w:t>
      </w:r>
    </w:p>
    <w:sectPr w:rsidR="003C2CD8">
      <w:headerReference w:type="default" r:id="rId8"/>
      <w:footerReference w:type="default" r:id="rId9"/>
      <w:pgSz w:w="16838" w:h="11906" w:orient="landscape" w:code="9"/>
      <w:pgMar w:top="1021"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A6E" w:rsidRDefault="001838EA">
      <w:pPr>
        <w:spacing w:after="0" w:line="240" w:lineRule="auto"/>
      </w:pPr>
      <w:r>
        <w:separator/>
      </w:r>
    </w:p>
  </w:endnote>
  <w:endnote w:type="continuationSeparator" w:id="0">
    <w:p w:rsidR="00273A6E" w:rsidRDefault="0018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6E" w:rsidRDefault="001838EA">
    <w:pPr>
      <w:pStyle w:val="Fuzeile"/>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A6E" w:rsidRDefault="001838EA">
      <w:pPr>
        <w:spacing w:after="0" w:line="240" w:lineRule="auto"/>
      </w:pPr>
      <w:r>
        <w:separator/>
      </w:r>
    </w:p>
  </w:footnote>
  <w:footnote w:type="continuationSeparator" w:id="0">
    <w:p w:rsidR="00273A6E" w:rsidRDefault="00183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A6E" w:rsidRPr="00292469" w:rsidRDefault="004867AD" w:rsidP="00B639BF">
    <w:pPr>
      <w:pStyle w:val="Kopfzeile"/>
      <w:tabs>
        <w:tab w:val="right" w:pos="14570"/>
      </w:tabs>
      <w:jc w:val="left"/>
    </w:pPr>
    <w:r w:rsidRPr="00B639BF">
      <w:rPr>
        <w:i/>
      </w:rPr>
      <w:t xml:space="preserve">Version </w:t>
    </w:r>
    <w:r w:rsidR="00E2005C">
      <w:rPr>
        <w:i/>
      </w:rPr>
      <w:t>2</w:t>
    </w:r>
    <w:r w:rsidR="00A5096D">
      <w:rPr>
        <w:i/>
      </w:rPr>
      <w:t xml:space="preserve"> </w:t>
    </w:r>
    <w:r w:rsidR="00A5096D" w:rsidRPr="007834A5">
      <w:rPr>
        <w:i/>
        <w:color w:val="000000" w:themeColor="text1"/>
      </w:rPr>
      <w:t xml:space="preserve">vom </w:t>
    </w:r>
    <w:r w:rsidR="00E2005C">
      <w:rPr>
        <w:i/>
        <w:color w:val="000000" w:themeColor="text1"/>
      </w:rPr>
      <w:t>10</w:t>
    </w:r>
    <w:r w:rsidR="00E81313">
      <w:rPr>
        <w:i/>
        <w:color w:val="000000" w:themeColor="text1"/>
      </w:rPr>
      <w:t>.</w:t>
    </w:r>
    <w:r w:rsidR="00D21DDB">
      <w:rPr>
        <w:i/>
        <w:color w:val="000000" w:themeColor="text1"/>
      </w:rPr>
      <w:t>1</w:t>
    </w:r>
    <w:r w:rsidR="00E2005C">
      <w:rPr>
        <w:i/>
        <w:color w:val="000000" w:themeColor="text1"/>
      </w:rPr>
      <w:t>1</w:t>
    </w:r>
    <w:r w:rsidR="00BB313D" w:rsidRPr="00F85DF4">
      <w:rPr>
        <w:i/>
        <w:color w:val="000000" w:themeColor="text1"/>
      </w:rPr>
      <w:t>.202</w:t>
    </w:r>
    <w:r w:rsidR="00E44481" w:rsidRPr="00F85DF4">
      <w:rPr>
        <w:i/>
        <w:color w:val="000000" w:themeColor="text1"/>
      </w:rPr>
      <w:t>5</w:t>
    </w:r>
    <w:r>
      <w:tab/>
    </w:r>
    <w:r>
      <w:tab/>
    </w:r>
    <w:r>
      <w:tab/>
    </w:r>
    <w:r w:rsidR="00D21DDB" w:rsidRPr="00D21DDB">
      <w:t>ZIB 14.06 -</w:t>
    </w:r>
    <w:r w:rsidR="00D21DDB">
      <w:t xml:space="preserve"> </w:t>
    </w:r>
    <w:r w:rsidR="00D21DDB" w:rsidRPr="00D21DDB">
      <w:t>99114/25/</w:t>
    </w:r>
    <w:proofErr w:type="gramStart"/>
    <w:r w:rsidR="00D21DDB" w:rsidRPr="00D21DDB">
      <w:t>VV</w:t>
    </w:r>
    <w:r w:rsidR="00D21DDB">
      <w:t xml:space="preserve"> </w:t>
    </w:r>
    <w:r w:rsidR="00D21DDB" w:rsidRPr="00D21DDB">
      <w:t>:</w:t>
    </w:r>
    <w:proofErr w:type="gramEnd"/>
    <w:r w:rsidR="00D21DDB">
      <w:t xml:space="preserve"> </w:t>
    </w:r>
    <w:r w:rsidR="00D21DDB" w:rsidRPr="00D21DDB">
      <w:t>1-</w:t>
    </w:r>
    <w:r w:rsidR="00E2005C">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A2172"/>
    <w:multiLevelType w:val="hybridMultilevel"/>
    <w:tmpl w:val="D57EE23C"/>
    <w:lvl w:ilvl="0" w:tplc="B8C884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E25CBC"/>
    <w:multiLevelType w:val="multilevel"/>
    <w:tmpl w:val="8E9EBCA8"/>
    <w:lvl w:ilvl="0">
      <w:start w:val="1"/>
      <w:numFmt w:val="bullet"/>
      <w:pStyle w:val="Liste"/>
      <w:lvlText w:val="▪"/>
      <w:lvlJc w:val="left"/>
      <w:pPr>
        <w:tabs>
          <w:tab w:val="num" w:pos="284"/>
        </w:tabs>
        <w:ind w:left="284" w:hanging="284"/>
      </w:pPr>
      <w:rPr>
        <w:rFonts w:ascii="Calibri" w:hAnsi="Calibri" w:hint="default"/>
      </w:rPr>
    </w:lvl>
    <w:lvl w:ilvl="1">
      <w:start w:val="1"/>
      <w:numFmt w:val="bullet"/>
      <w:pStyle w:val="Liste2"/>
      <w:lvlText w:val="▪"/>
      <w:lvlJc w:val="left"/>
      <w:pPr>
        <w:tabs>
          <w:tab w:val="num" w:pos="568"/>
        </w:tabs>
        <w:ind w:left="568" w:hanging="284"/>
      </w:pPr>
      <w:rPr>
        <w:rFonts w:ascii="Calibri" w:hAnsi="Calibri"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2" w15:restartNumberingAfterBreak="0">
    <w:nsid w:val="1E7E1112"/>
    <w:multiLevelType w:val="multilevel"/>
    <w:tmpl w:val="84B0DD08"/>
    <w:lvl w:ilvl="0">
      <w:start w:val="1"/>
      <w:numFmt w:val="decimal"/>
      <w:pStyle w:val="Hinweis"/>
      <w:lvlText w:val="Hinweis %1:"/>
      <w:lvlJc w:val="left"/>
      <w:pPr>
        <w:ind w:left="1276"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5A414B"/>
    <w:multiLevelType w:val="multilevel"/>
    <w:tmpl w:val="40AE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357224"/>
    <w:multiLevelType w:val="hybridMultilevel"/>
    <w:tmpl w:val="E6B07FC2"/>
    <w:lvl w:ilvl="0" w:tplc="1E88C55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6E"/>
    <w:rsid w:val="000202C8"/>
    <w:rsid w:val="00152BC8"/>
    <w:rsid w:val="00167052"/>
    <w:rsid w:val="001838EA"/>
    <w:rsid w:val="001E1025"/>
    <w:rsid w:val="001F33F2"/>
    <w:rsid w:val="00273A6E"/>
    <w:rsid w:val="00292469"/>
    <w:rsid w:val="00312005"/>
    <w:rsid w:val="00314319"/>
    <w:rsid w:val="0033154D"/>
    <w:rsid w:val="00353DD8"/>
    <w:rsid w:val="003C2CD8"/>
    <w:rsid w:val="003C677C"/>
    <w:rsid w:val="00422798"/>
    <w:rsid w:val="0047230B"/>
    <w:rsid w:val="004867AD"/>
    <w:rsid w:val="004D1114"/>
    <w:rsid w:val="00513F47"/>
    <w:rsid w:val="005F31BF"/>
    <w:rsid w:val="005F53F8"/>
    <w:rsid w:val="00626472"/>
    <w:rsid w:val="0067200A"/>
    <w:rsid w:val="0070759D"/>
    <w:rsid w:val="00724272"/>
    <w:rsid w:val="007324D9"/>
    <w:rsid w:val="00765A51"/>
    <w:rsid w:val="007834A5"/>
    <w:rsid w:val="008619A1"/>
    <w:rsid w:val="008E4176"/>
    <w:rsid w:val="009D1B3B"/>
    <w:rsid w:val="00A5096D"/>
    <w:rsid w:val="00AA766D"/>
    <w:rsid w:val="00AE7E32"/>
    <w:rsid w:val="00B628FD"/>
    <w:rsid w:val="00B639BF"/>
    <w:rsid w:val="00BB313D"/>
    <w:rsid w:val="00BC085D"/>
    <w:rsid w:val="00C44664"/>
    <w:rsid w:val="00C60B37"/>
    <w:rsid w:val="00C81285"/>
    <w:rsid w:val="00CB2848"/>
    <w:rsid w:val="00D21DDB"/>
    <w:rsid w:val="00D6007B"/>
    <w:rsid w:val="00D71D4B"/>
    <w:rsid w:val="00E01FD6"/>
    <w:rsid w:val="00E2005C"/>
    <w:rsid w:val="00E44481"/>
    <w:rsid w:val="00E444DB"/>
    <w:rsid w:val="00E55C2C"/>
    <w:rsid w:val="00E81313"/>
    <w:rsid w:val="00EA59FC"/>
    <w:rsid w:val="00F76F47"/>
    <w:rsid w:val="00F85DF4"/>
    <w:rsid w:val="00F865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48DDE1D"/>
  <w15:chartTrackingRefBased/>
  <w15:docId w15:val="{4CF4572F-4318-4F5A-BE68-56A4A57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pPr>
      <w:spacing w:after="200"/>
    </w:pPr>
    <w:rPr>
      <w:rFonts w:ascii="Calibri" w:hAnsi="Calibri"/>
    </w:rPr>
  </w:style>
  <w:style w:type="paragraph" w:styleId="berschrift1">
    <w:name w:val="heading 1"/>
    <w:basedOn w:val="Standard"/>
    <w:next w:val="Standard"/>
    <w:link w:val="berschrift1Zchn"/>
    <w:uiPriority w:val="9"/>
    <w:qFormat/>
    <w:pPr>
      <w:keepNext/>
      <w:keepLines/>
      <w:spacing w:after="0"/>
      <w:jc w:val="center"/>
      <w:outlineLvl w:val="0"/>
    </w:pPr>
    <w:rPr>
      <w:rFonts w:eastAsiaTheme="majorEastAsia" w:cstheme="majorBidi"/>
      <w:b/>
      <w:sz w:val="24"/>
      <w:szCs w:val="32"/>
    </w:rPr>
  </w:style>
  <w:style w:type="paragraph" w:styleId="berschrift2">
    <w:name w:val="heading 2"/>
    <w:basedOn w:val="Standard"/>
    <w:next w:val="Standard"/>
    <w:link w:val="berschrift2Zchn"/>
    <w:uiPriority w:val="9"/>
    <w:qFormat/>
    <w:pPr>
      <w:keepNext/>
      <w:keepLines/>
      <w:spacing w:after="240"/>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qFormat/>
    <w:pPr>
      <w:keepNext/>
      <w:keepLines/>
      <w:spacing w:before="240" w:after="240"/>
      <w:outlineLvl w:val="2"/>
    </w:pPr>
    <w:rPr>
      <w:rFonts w:eastAsiaTheme="majorEastAsia" w:cstheme="majorBidi"/>
      <w:b/>
      <w:sz w:val="24"/>
      <w:szCs w:val="24"/>
    </w:rPr>
  </w:style>
  <w:style w:type="paragraph" w:styleId="berschrift4">
    <w:name w:val="heading 4"/>
    <w:basedOn w:val="Standard"/>
    <w:next w:val="Standard"/>
    <w:link w:val="berschrift4Zchn"/>
    <w:uiPriority w:val="9"/>
    <w:qFormat/>
    <w:pPr>
      <w:keepNext/>
      <w:keepLines/>
      <w:shd w:val="clear" w:color="auto" w:fill="FFE599" w:themeFill="accent4" w:themeFillTint="66"/>
      <w:spacing w:before="480" w:after="120"/>
      <w:outlineLvl w:val="3"/>
    </w:pPr>
    <w:rPr>
      <w:rFonts w:eastAsiaTheme="majorEastAsia"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imes New Roman" w:eastAsiaTheme="majorEastAsia" w:hAnsi="Times New Roman" w:cstheme="majorBidi"/>
      <w:b/>
      <w:sz w:val="24"/>
      <w:szCs w:val="32"/>
    </w:rPr>
  </w:style>
  <w:style w:type="character" w:customStyle="1" w:styleId="berschrift2Zchn">
    <w:name w:val="Überschrift 2 Zchn"/>
    <w:basedOn w:val="Absatz-Standardschriftart"/>
    <w:link w:val="berschrift2"/>
    <w:uiPriority w:val="9"/>
    <w:rPr>
      <w:rFonts w:ascii="Times New Roman" w:eastAsiaTheme="majorEastAsia" w:hAnsi="Times New Roman" w:cstheme="majorBidi"/>
      <w:b/>
      <w:sz w:val="24"/>
      <w:szCs w:val="26"/>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DEEAF6" w:themeColor="accent5" w:themeTint="33" w:fill="D9E2F3" w:themeFill="accent1" w:themeFillTint="33"/>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Tabellenberschrift">
    <w:name w:val="Tabellenüberschrift"/>
    <w:basedOn w:val="Standard"/>
    <w:qFormat/>
    <w:pPr>
      <w:spacing w:before="40" w:after="0" w:line="240" w:lineRule="auto"/>
    </w:pPr>
    <w:rPr>
      <w:b/>
    </w:rPr>
  </w:style>
  <w:style w:type="character" w:styleId="Fett">
    <w:name w:val="Strong"/>
    <w:basedOn w:val="Absatz-Standardschriftart"/>
    <w:uiPriority w:val="22"/>
    <w:qFormat/>
    <w:rPr>
      <w:b/>
      <w:bCs/>
    </w:rPr>
  </w:style>
  <w:style w:type="paragraph" w:styleId="Liste2">
    <w:name w:val="List 2"/>
    <w:basedOn w:val="Standard"/>
    <w:uiPriority w:val="99"/>
    <w:pPr>
      <w:numPr>
        <w:ilvl w:val="1"/>
        <w:numId w:val="2"/>
      </w:numPr>
      <w:contextualSpacing/>
    </w:pPr>
  </w:style>
  <w:style w:type="paragraph" w:styleId="Liste">
    <w:name w:val="List"/>
    <w:basedOn w:val="Standard"/>
    <w:uiPriority w:val="99"/>
    <w:pPr>
      <w:numPr>
        <w:numId w:val="2"/>
      </w:numPr>
      <w:spacing w:after="0"/>
      <w:contextualSpacing/>
    </w:pPr>
  </w:style>
  <w:style w:type="character" w:customStyle="1" w:styleId="berschrift3Zchn">
    <w:name w:val="Überschrift 3 Zchn"/>
    <w:basedOn w:val="Absatz-Standardschriftart"/>
    <w:link w:val="berschrift3"/>
    <w:uiPriority w:val="9"/>
    <w:rPr>
      <w:rFonts w:ascii="Calibri" w:eastAsiaTheme="majorEastAsia" w:hAnsi="Calibri" w:cstheme="majorBidi"/>
      <w:b/>
      <w:sz w:val="24"/>
      <w:szCs w:val="24"/>
    </w:rPr>
  </w:style>
  <w:style w:type="character" w:styleId="Platzhaltertext">
    <w:name w:val="Placeholder Text"/>
    <w:basedOn w:val="Absatz-Standardschriftart"/>
    <w:uiPriority w:val="99"/>
    <w:semiHidden/>
    <w:rPr>
      <w:color w:val="808080"/>
    </w:rPr>
  </w:style>
  <w:style w:type="paragraph" w:styleId="Kopfzeile">
    <w:name w:val="header"/>
    <w:basedOn w:val="Standard"/>
    <w:link w:val="KopfzeileZchn"/>
    <w:uiPriority w:val="99"/>
    <w:pPr>
      <w:tabs>
        <w:tab w:val="center" w:pos="4536"/>
        <w:tab w:val="right" w:pos="9072"/>
      </w:tabs>
      <w:spacing w:after="0" w:line="240" w:lineRule="auto"/>
      <w:jc w:val="right"/>
    </w:pPr>
  </w:style>
  <w:style w:type="character" w:customStyle="1" w:styleId="KopfzeileZchn">
    <w:name w:val="Kopfzeile Zchn"/>
    <w:basedOn w:val="Absatz-Standardschriftart"/>
    <w:link w:val="Kopfzeile"/>
    <w:uiPriority w:val="99"/>
    <w:rPr>
      <w:rFonts w:ascii="Calibri" w:hAnsi="Calibri"/>
    </w:rPr>
  </w:style>
  <w:style w:type="paragraph" w:styleId="Fuzeile">
    <w:name w:val="footer"/>
    <w:basedOn w:val="Standard"/>
    <w:link w:val="FuzeileZchn"/>
    <w:uiPriority w:val="99"/>
    <w:pPr>
      <w:tabs>
        <w:tab w:val="center" w:pos="4536"/>
        <w:tab w:val="right" w:pos="9072"/>
      </w:tabs>
      <w:spacing w:after="0" w:line="240" w:lineRule="auto"/>
      <w:jc w:val="center"/>
    </w:pPr>
  </w:style>
  <w:style w:type="character" w:customStyle="1" w:styleId="FuzeileZchn">
    <w:name w:val="Fußzeile Zchn"/>
    <w:basedOn w:val="Absatz-Standardschriftart"/>
    <w:link w:val="Fuzeile"/>
    <w:uiPriority w:val="99"/>
    <w:rPr>
      <w:rFonts w:ascii="Calibri" w:hAnsi="Calibri"/>
    </w:rPr>
  </w:style>
  <w:style w:type="paragraph" w:customStyle="1" w:styleId="Hinweis">
    <w:name w:val="Hinweis"/>
    <w:basedOn w:val="Standard"/>
    <w:qFormat/>
    <w:pPr>
      <w:keepNext/>
      <w:keepLines/>
      <w:numPr>
        <w:numId w:val="3"/>
      </w:numPr>
      <w:shd w:val="clear" w:color="auto" w:fill="FFE599" w:themeFill="accent4" w:themeFillTint="66"/>
      <w:spacing w:after="120" w:line="264" w:lineRule="auto"/>
      <w:ind w:left="1134"/>
    </w:pPr>
  </w:style>
  <w:style w:type="character" w:customStyle="1" w:styleId="berschrift4Zchn">
    <w:name w:val="Überschrift 4 Zchn"/>
    <w:basedOn w:val="Absatz-Standardschriftart"/>
    <w:link w:val="berschrift4"/>
    <w:uiPriority w:val="9"/>
    <w:rPr>
      <w:rFonts w:ascii="Calibri" w:eastAsiaTheme="majorEastAsia" w:hAnsi="Calibri" w:cstheme="majorBidi"/>
      <w:b/>
      <w:iCs/>
      <w:sz w:val="24"/>
      <w:shd w:val="clear" w:color="auto" w:fill="FFE599" w:themeFill="accent4" w:themeFillTint="66"/>
    </w:rPr>
  </w:style>
  <w:style w:type="character" w:customStyle="1" w:styleId="NeueFrageoderAntwort">
    <w:name w:val="Neue Frage oder Antwort"/>
    <w:basedOn w:val="Absatz-Standardschriftart"/>
    <w:uiPriority w:val="1"/>
    <w:qFormat/>
    <w:rsid w:val="0067200A"/>
    <w:rPr>
      <w:bdr w:val="none" w:sz="0" w:space="0" w:color="auto"/>
      <w:shd w:val="clear" w:color="auto" w:fill="FFE599" w:themeFill="accent4" w:themeFillTint="66"/>
    </w:rPr>
  </w:style>
  <w:style w:type="character" w:customStyle="1" w:styleId="nderungzurVorversion">
    <w:name w:val="Änderung zur Vorversion"/>
    <w:basedOn w:val="NeueFrageoderAntwort"/>
    <w:uiPriority w:val="1"/>
    <w:qFormat/>
    <w:rsid w:val="0067200A"/>
    <w:rPr>
      <w:bdr w:val="none" w:sz="0" w:space="0" w:color="auto"/>
      <w:shd w:val="clear" w:color="auto" w:fill="C5E0B3" w:themeFill="accent6" w:themeFillTint="66"/>
    </w:rPr>
  </w:style>
  <w:style w:type="paragraph" w:styleId="Sprechblasentext">
    <w:name w:val="Balloon Text"/>
    <w:basedOn w:val="Standard"/>
    <w:link w:val="SprechblasentextZchn"/>
    <w:uiPriority w:val="99"/>
    <w:semiHidden/>
    <w:rsid w:val="003C2CD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2CD8"/>
    <w:rPr>
      <w:rFonts w:ascii="Segoe UI" w:hAnsi="Segoe UI" w:cs="Segoe UI"/>
      <w:sz w:val="18"/>
      <w:szCs w:val="18"/>
    </w:rPr>
  </w:style>
  <w:style w:type="paragraph" w:styleId="Listenabsatz">
    <w:name w:val="List Paragraph"/>
    <w:basedOn w:val="Standard"/>
    <w:uiPriority w:val="34"/>
    <w:semiHidden/>
    <w:qFormat/>
    <w:rsid w:val="00E20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0CD44531FF4AC38FDEBAE8DECA5E1B"/>
        <w:category>
          <w:name w:val="Allgemein"/>
          <w:gallery w:val="placeholder"/>
        </w:category>
        <w:types>
          <w:type w:val="bbPlcHdr"/>
        </w:types>
        <w:behaviors>
          <w:behavior w:val="content"/>
        </w:behaviors>
        <w:guid w:val="{DC887F0D-D458-41A8-8421-6B2AB490A1CD}"/>
      </w:docPartPr>
      <w:docPartBody>
        <w:p w:rsidR="00155661" w:rsidRDefault="00E67F1A" w:rsidP="00E67F1A">
          <w:pPr>
            <w:pStyle w:val="560CD44531FF4AC38FDEBAE8DECA5E1B"/>
          </w:pPr>
          <w:r>
            <w:rPr>
              <w:rStyle w:val="Platzhaltertext"/>
            </w:rPr>
            <w:t>Klicken oder tippen Sie, um ein Datum einzugeben.</w:t>
          </w:r>
        </w:p>
      </w:docPartBody>
    </w:docPart>
    <w:docPart>
      <w:docPartPr>
        <w:name w:val="58CDB5BDA6BE4B9382B05F613C2F7838"/>
        <w:category>
          <w:name w:val="Allgemein"/>
          <w:gallery w:val="placeholder"/>
        </w:category>
        <w:types>
          <w:type w:val="bbPlcHdr"/>
        </w:types>
        <w:behaviors>
          <w:behavior w:val="content"/>
        </w:behaviors>
        <w:guid w:val="{9ED14943-8B76-4A40-A1EE-8B636AE379A2}"/>
      </w:docPartPr>
      <w:docPartBody>
        <w:p w:rsidR="00000000" w:rsidRDefault="00FD2FB5" w:rsidP="00FD2FB5">
          <w:pPr>
            <w:pStyle w:val="58CDB5BDA6BE4B9382B05F613C2F7838"/>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1A"/>
    <w:rsid w:val="00155661"/>
    <w:rsid w:val="00E67F1A"/>
    <w:rsid w:val="00FD2F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2FB5"/>
    <w:rPr>
      <w:color w:val="808080"/>
    </w:rPr>
  </w:style>
  <w:style w:type="paragraph" w:customStyle="1" w:styleId="560CD44531FF4AC38FDEBAE8DECA5E1B">
    <w:name w:val="560CD44531FF4AC38FDEBAE8DECA5E1B"/>
    <w:rsid w:val="00E67F1A"/>
  </w:style>
  <w:style w:type="paragraph" w:customStyle="1" w:styleId="58CDB5BDA6BE4B9382B05F613C2F7838">
    <w:name w:val="58CDB5BDA6BE4B9382B05F613C2F7838"/>
    <w:rsid w:val="00FD2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Tabellenüberschrift">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10870D77-7BE6-44F9-9CD4-0313B67D9D5E}">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1233</Words>
  <Characters>7773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Bieterfragen und Antworten</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Bieterfragen und Antworten</dc:title>
  <dc:subject/>
  <dc:creator>Kreuzer, Daniel</dc:creator>
  <cp:keywords/>
  <dc:description/>
  <cp:lastModifiedBy>Dimitrovici, Peter</cp:lastModifiedBy>
  <cp:revision>4</cp:revision>
  <dcterms:created xsi:type="dcterms:W3CDTF">2025-11-12T11:43:00Z</dcterms:created>
  <dcterms:modified xsi:type="dcterms:W3CDTF">2025-11-12T11:53:00Z</dcterms:modified>
</cp:coreProperties>
</file>