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141" w:rsidRPr="00D526B0" w:rsidRDefault="00F80141" w:rsidP="00F80141">
      <w:pPr>
        <w:pStyle w:val="berschrift2"/>
        <w:numPr>
          <w:ilvl w:val="0"/>
          <w:numId w:val="0"/>
        </w:numPr>
        <w:spacing w:line="240" w:lineRule="auto"/>
        <w:rPr>
          <w:b w:val="0"/>
          <w:szCs w:val="22"/>
          <w:u w:val="none"/>
        </w:rPr>
      </w:pPr>
      <w:bookmarkStart w:id="0" w:name="_Ref156018563"/>
      <w:bookmarkStart w:id="1" w:name="_Toc156803683"/>
    </w:p>
    <w:p w:rsidR="00F80141" w:rsidRPr="003021BF" w:rsidRDefault="00F80141" w:rsidP="00F8014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bookmarkEnd w:id="0"/>
      <w:bookmarkEnd w:id="1"/>
    </w:p>
    <w:p w:rsidR="00F80141" w:rsidRPr="0043402F" w:rsidRDefault="00F80141" w:rsidP="00F80141">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rsidR="00F80141" w:rsidRDefault="00F80141" w:rsidP="00F80141">
      <w:pPr>
        <w:pStyle w:val="berschriftR2"/>
        <w:spacing w:after="120"/>
        <w:rPr>
          <w:szCs w:val="22"/>
        </w:rPr>
      </w:pPr>
    </w:p>
    <w:p w:rsidR="00F80141" w:rsidRPr="007E2560" w:rsidRDefault="00F80141" w:rsidP="00F80141">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rsidTr="00064481">
        <w:trPr>
          <w:cantSplit/>
          <w:trHeight w:hRule="exact" w:val="851"/>
        </w:trPr>
        <w:tc>
          <w:tcPr>
            <w:tcW w:w="9501" w:type="dxa"/>
          </w:tcPr>
          <w:p w:rsidR="00F80141" w:rsidRPr="005C2FAE" w:rsidRDefault="00F80141"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rsidR="00F80141" w:rsidRPr="005916D4" w:rsidRDefault="00F80141" w:rsidP="0006448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rsidR="00F80141" w:rsidRPr="00CF652A" w:rsidRDefault="00F80141" w:rsidP="00F80141">
      <w:pPr>
        <w:pStyle w:val="berschriftR2"/>
        <w:spacing w:after="120"/>
        <w:rPr>
          <w:szCs w:val="22"/>
        </w:rPr>
      </w:pPr>
    </w:p>
    <w:p w:rsidR="00F80141" w:rsidRPr="007E2560" w:rsidRDefault="00F80141" w:rsidP="00F80141">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rsidTr="00064481">
        <w:trPr>
          <w:cantSplit/>
          <w:trHeight w:val="1474"/>
        </w:trPr>
        <w:tc>
          <w:tcPr>
            <w:tcW w:w="9501" w:type="dxa"/>
          </w:tcPr>
          <w:p w:rsidR="00F80141" w:rsidRPr="005C2FAE" w:rsidRDefault="00F80141"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rsidR="00F80141" w:rsidRPr="006D2260" w:rsidRDefault="00F80141"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rsidR="00F80141" w:rsidRPr="00D17D20" w:rsidRDefault="00F80141" w:rsidP="00F80141">
      <w:pPr>
        <w:pStyle w:val="Text-B-0"/>
        <w:spacing w:after="240"/>
        <w:rPr>
          <w:szCs w:val="22"/>
        </w:rPr>
      </w:pPr>
    </w:p>
    <w:p w:rsidR="00BA24EE" w:rsidRDefault="00BA24EE" w:rsidP="00C3620A">
      <w:pPr>
        <w:pStyle w:val="Text-B-0"/>
        <w:spacing w:after="240"/>
        <w:rPr>
          <w:rFonts w:cs="Arial"/>
          <w:szCs w:val="22"/>
        </w:rPr>
      </w:pPr>
      <w:r>
        <w:rPr>
          <w:rFonts w:cs="Arial"/>
          <w:szCs w:val="22"/>
        </w:rPr>
        <w:t xml:space="preserve">Zu diesem Beschaffungsverfahren wird im Hinblick </w:t>
      </w:r>
      <w:proofErr w:type="gramStart"/>
      <w:r w:rsidR="00FD228B">
        <w:rPr>
          <w:rFonts w:cs="Arial"/>
          <w:szCs w:val="22"/>
        </w:rPr>
        <w:t>auf zwingende</w:t>
      </w:r>
      <w:proofErr w:type="gramEnd"/>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123 des Gesetzes gegen Wettbewerbsbeschränkungen (GWB) </w:t>
      </w:r>
      <w:r>
        <w:rPr>
          <w:rFonts w:cs="Arial"/>
          <w:szCs w:val="22"/>
        </w:rPr>
        <w:t>folgende Erklärung abgegeben:</w:t>
      </w:r>
    </w:p>
    <w:p w:rsidR="00F80141" w:rsidRPr="007E4616" w:rsidRDefault="00F80141" w:rsidP="00064481">
      <w:pPr>
        <w:spacing w:after="6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en</w:t>
      </w:r>
    </w:p>
    <w:p w:rsidR="00F80141" w:rsidRPr="003C3B76" w:rsidRDefault="00F80141" w:rsidP="00F80141">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rsidTr="00864456">
        <w:tc>
          <w:tcPr>
            <w:tcW w:w="9494" w:type="dxa"/>
            <w:tcBorders>
              <w:top w:val="single" w:sz="4" w:space="0" w:color="auto"/>
              <w:left w:val="single" w:sz="4" w:space="0" w:color="auto"/>
              <w:bottom w:val="single" w:sz="4" w:space="0" w:color="auto"/>
              <w:right w:val="single" w:sz="4" w:space="0" w:color="auto"/>
            </w:tcBorders>
          </w:tcPr>
          <w:p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wegen einer der in § 123 Abs. 1 Nummern 1 bis 10 GWB 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rsidR="00BA24EE" w:rsidRPr="00DB2188"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rsidR="00F80141" w:rsidRDefault="00F80141" w:rsidP="00F80141">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F80141" w:rsidRPr="005C2FAE" w:rsidTr="00064481">
        <w:tc>
          <w:tcPr>
            <w:tcW w:w="9494" w:type="dxa"/>
            <w:tcBorders>
              <w:top w:val="single" w:sz="12" w:space="0" w:color="FF0000"/>
              <w:left w:val="single" w:sz="12" w:space="0" w:color="FF0000"/>
              <w:bottom w:val="single" w:sz="12" w:space="0" w:color="FF0000"/>
              <w:right w:val="single" w:sz="12" w:space="0" w:color="FF0000"/>
            </w:tcBorders>
          </w:tcPr>
          <w:p w:rsidR="00F80141" w:rsidRPr="005C2FAE" w:rsidRDefault="00F80141"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rsidR="00F80141" w:rsidRPr="00F56EB3" w:rsidRDefault="00F80141"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rsidR="00F80141" w:rsidRDefault="00F80141" w:rsidP="00064481">
            <w:pPr>
              <w:pStyle w:val="Default"/>
              <w:spacing w:before="60" w:after="60"/>
              <w:jc w:val="both"/>
              <w:rPr>
                <w:rFonts w:cs="Arial"/>
                <w:b/>
                <w:i/>
              </w:rPr>
            </w:pPr>
            <w:r w:rsidRPr="00F56EB3">
              <w:rPr>
                <w:b/>
                <w:bCs/>
                <w:i/>
                <w:iCs/>
                <w:sz w:val="20"/>
                <w:szCs w:val="20"/>
              </w:rPr>
              <w:t xml:space="preserve">Als Datum dieser Erklärung gilt identisch das Datum </w:t>
            </w:r>
            <w:r w:rsidR="00DB2188">
              <w:rPr>
                <w:b/>
                <w:bCs/>
                <w:i/>
                <w:iCs/>
                <w:sz w:val="20"/>
                <w:szCs w:val="20"/>
              </w:rPr>
              <w:t>des Hochladens</w:t>
            </w:r>
            <w:r w:rsidRPr="005C2FAE">
              <w:rPr>
                <w:rFonts w:cs="Arial"/>
                <w:b/>
                <w:i/>
              </w:rPr>
              <w:t>.</w:t>
            </w:r>
          </w:p>
          <w:p w:rsidR="00F80141" w:rsidRPr="005C2FAE" w:rsidRDefault="00F80141"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rsidR="008B625C" w:rsidRDefault="007C6B95" w:rsidP="008B625C">
      <w:pPr>
        <w:pStyle w:val="berschrift2"/>
        <w:numPr>
          <w:ilvl w:val="0"/>
          <w:numId w:val="0"/>
        </w:numPr>
        <w:spacing w:after="120" w:line="240" w:lineRule="auto"/>
        <w:rPr>
          <w:b w:val="0"/>
          <w:szCs w:val="22"/>
        </w:rPr>
      </w:pPr>
      <w:r>
        <w:rPr>
          <w:b w:val="0"/>
          <w:szCs w:val="22"/>
        </w:rPr>
        <w:br w:type="page"/>
      </w:r>
    </w:p>
    <w:p w:rsidR="00761142" w:rsidRPr="00761142" w:rsidRDefault="00761142" w:rsidP="00761142">
      <w:pPr>
        <w:jc w:val="both"/>
        <w:rPr>
          <w:rFonts w:ascii="Arial" w:hAnsi="Arial"/>
          <w:sz w:val="22"/>
        </w:rPr>
      </w:pPr>
    </w:p>
    <w:p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rsidR="00761142" w:rsidRPr="00761142" w:rsidRDefault="00761142" w:rsidP="00761142">
      <w:pPr>
        <w:spacing w:after="120"/>
        <w:rPr>
          <w:rFonts w:ascii="Arial" w:hAnsi="Arial" w:cs="Arial"/>
          <w:sz w:val="22"/>
          <w:szCs w:val="22"/>
        </w:rPr>
      </w:pPr>
    </w:p>
    <w:p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rsidR="00761142" w:rsidRPr="00761142" w:rsidRDefault="00761142" w:rsidP="00761142">
      <w:pPr>
        <w:spacing w:after="120"/>
        <w:rPr>
          <w:rFonts w:ascii="Arial" w:hAnsi="Arial" w:cs="Arial"/>
          <w:sz w:val="22"/>
          <w:szCs w:val="22"/>
        </w:rPr>
      </w:pPr>
    </w:p>
    <w:p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rsidR="00761142" w:rsidRPr="00761142" w:rsidRDefault="00761142" w:rsidP="00761142">
      <w:pPr>
        <w:spacing w:after="120"/>
        <w:jc w:val="both"/>
        <w:rPr>
          <w:rFonts w:ascii="Arial" w:hAnsi="Arial" w:cs="Arial"/>
          <w:sz w:val="22"/>
          <w:szCs w:val="22"/>
        </w:rPr>
      </w:pPr>
    </w:p>
    <w:p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B3179C">
        <w:rPr>
          <w:rFonts w:ascii="Arial" w:hAnsi="Arial" w:cs="Arial"/>
          <w:sz w:val="22"/>
          <w:szCs w:val="22"/>
        </w:rPr>
        <w:t xml:space="preserve">GWB </w:t>
      </w:r>
      <w:r w:rsidRPr="00D17D20">
        <w:rPr>
          <w:rFonts w:ascii="Arial" w:hAnsi="Arial" w:cs="Arial"/>
          <w:sz w:val="22"/>
          <w:szCs w:val="22"/>
        </w:rPr>
        <w:t>ausgeschlossen worden sind.</w:t>
      </w:r>
    </w:p>
    <w:p w:rsidR="00761142" w:rsidRDefault="00761142" w:rsidP="00761142">
      <w:pPr>
        <w:spacing w:after="120"/>
        <w:jc w:val="both"/>
        <w:rPr>
          <w:rFonts w:ascii="Arial" w:hAnsi="Arial" w:cs="Arial"/>
          <w:sz w:val="22"/>
          <w:szCs w:val="22"/>
        </w:rPr>
      </w:pPr>
    </w:p>
    <w:p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w:t>
      </w:r>
      <w:r w:rsidR="00F80141">
        <w:rPr>
          <w:rFonts w:ascii="Arial" w:hAnsi="Arial" w:cs="Arial"/>
          <w:sz w:val="22"/>
          <w:szCs w:val="22"/>
        </w:rPr>
        <w:t xml:space="preserve">der auf der Seite 3 </w:t>
      </w:r>
      <w:r>
        <w:rPr>
          <w:rFonts w:ascii="Arial" w:hAnsi="Arial" w:cs="Arial"/>
          <w:sz w:val="22"/>
          <w:szCs w:val="22"/>
        </w:rPr>
        <w:t>auszugsweise wiedergegebenen Regelungen des § 123 GWB zu prüfen.</w:t>
      </w:r>
    </w:p>
    <w:p w:rsidR="005D5157" w:rsidRDefault="005D5157" w:rsidP="00761142">
      <w:pPr>
        <w:spacing w:after="120"/>
        <w:jc w:val="both"/>
        <w:rPr>
          <w:rFonts w:ascii="Arial" w:hAnsi="Arial" w:cs="Arial"/>
          <w:sz w:val="22"/>
          <w:szCs w:val="22"/>
        </w:rPr>
      </w:pPr>
    </w:p>
    <w:p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(z</w:t>
      </w:r>
      <w:r w:rsidR="00C523A6" w:rsidRPr="00C523A6">
        <w:rPr>
          <w:rFonts w:ascii="Arial" w:hAnsi="Arial" w:cs="Arial"/>
          <w:sz w:val="22"/>
          <w:szCs w:val="22"/>
          <w:u w:val="single"/>
        </w:rPr>
        <w:t>.B.</w:t>
      </w:r>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rsidR="00F80141" w:rsidRDefault="00F80141" w:rsidP="00F80141">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rsidR="0020225D" w:rsidRDefault="0020225D" w:rsidP="00761142">
      <w:pPr>
        <w:spacing w:after="120"/>
        <w:jc w:val="both"/>
        <w:rPr>
          <w:rFonts w:ascii="Arial" w:hAnsi="Arial" w:cs="Arial"/>
          <w:sz w:val="22"/>
          <w:szCs w:val="22"/>
        </w:rPr>
      </w:pPr>
    </w:p>
    <w:p w:rsidR="00666CFB" w:rsidRDefault="00666CFB" w:rsidP="00761142">
      <w:pPr>
        <w:spacing w:after="120"/>
        <w:jc w:val="both"/>
        <w:rPr>
          <w:rFonts w:ascii="Arial" w:hAnsi="Arial" w:cs="Arial"/>
          <w:sz w:val="22"/>
          <w:szCs w:val="22"/>
        </w:rPr>
      </w:pPr>
    </w:p>
    <w:p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F80141">
        <w:rPr>
          <w:rFonts w:ascii="Arial" w:hAnsi="Arial" w:cs="Arial"/>
          <w:i/>
          <w:color w:val="000000"/>
          <w:sz w:val="22"/>
          <w:szCs w:val="22"/>
          <w:u w:val="single"/>
        </w:rPr>
        <w:t>zu beachten</w:t>
      </w:r>
      <w:r w:rsidRPr="001826F5">
        <w:rPr>
          <w:rFonts w:ascii="Arial" w:hAnsi="Arial" w:cs="Arial"/>
          <w:i/>
          <w:color w:val="000000"/>
          <w:sz w:val="22"/>
          <w:szCs w:val="22"/>
        </w:rPr>
        <w:t>:</w:t>
      </w:r>
    </w:p>
    <w:p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rsidR="005D5157" w:rsidRDefault="005D5157">
      <w:pPr>
        <w:rPr>
          <w:rFonts w:ascii="Arial" w:hAnsi="Arial" w:cs="Arial"/>
          <w:sz w:val="22"/>
          <w:szCs w:val="22"/>
        </w:rPr>
      </w:pPr>
      <w:r>
        <w:rPr>
          <w:rFonts w:ascii="Arial" w:hAnsi="Arial" w:cs="Arial"/>
          <w:sz w:val="22"/>
          <w:szCs w:val="22"/>
        </w:rPr>
        <w:br w:type="page"/>
      </w:r>
    </w:p>
    <w:p w:rsidR="004163D6" w:rsidRPr="00761142" w:rsidRDefault="004163D6" w:rsidP="004163D6">
      <w:pPr>
        <w:jc w:val="both"/>
        <w:rPr>
          <w:rFonts w:ascii="Arial" w:hAnsi="Arial"/>
          <w:sz w:val="22"/>
        </w:rPr>
      </w:pPr>
    </w:p>
    <w:p w:rsidR="004163D6" w:rsidRPr="003021BF" w:rsidRDefault="004163D6" w:rsidP="004163D6">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rsidR="004163D6" w:rsidRPr="00644A31" w:rsidRDefault="004163D6" w:rsidP="004163D6">
      <w:pPr>
        <w:spacing w:after="120"/>
        <w:rPr>
          <w:rFonts w:ascii="Arial" w:hAnsi="Arial" w:cs="Arial"/>
          <w:sz w:val="22"/>
          <w:szCs w:val="22"/>
        </w:rPr>
      </w:pPr>
    </w:p>
    <w:p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   Zwingende Ausschlussgründe (Auszug)</w:t>
      </w:r>
    </w:p>
    <w:p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Pr>
          <w:rFonts w:ascii="Arial Narrow" w:hAnsi="Arial Narrow" w:cs="Arial"/>
          <w:color w:val="333333"/>
          <w:sz w:val="18"/>
          <w:szCs w:val="18"/>
        </w:rPr>
        <w:t xml:space="preserve">öffentliche Haushalte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Pr="00A53FCE">
        <w:rPr>
          <w:rFonts w:ascii="Arial Narrow" w:hAnsi="Arial Narrow" w:cs="Arial"/>
          <w:color w:val="333333"/>
          <w:sz w:val="18"/>
          <w:szCs w:val="18"/>
        </w:rPr>
        <w:t xml:space="preserve">soweit sich die Straftat gegen </w:t>
      </w:r>
      <w:r>
        <w:rPr>
          <w:rFonts w:ascii="Arial Narrow" w:hAnsi="Arial Narrow" w:cs="Arial"/>
          <w:color w:val="333333"/>
          <w:sz w:val="18"/>
          <w:szCs w:val="18"/>
        </w:rPr>
        <w:t xml:space="preserve">einen öffentlichen Haushalt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rsidR="004163D6" w:rsidRPr="001D3531"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rsidR="004163D6" w:rsidRPr="00A53FCE" w:rsidRDefault="004163D6" w:rsidP="004163D6">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rsidR="004163D6" w:rsidRPr="00A53FCE" w:rsidRDefault="004163D6" w:rsidP="004163D6">
      <w:pPr>
        <w:spacing w:after="240"/>
        <w:ind w:right="142"/>
        <w:jc w:val="both"/>
        <w:rPr>
          <w:rFonts w:ascii="Arial Narrow" w:hAnsi="Arial Narrow" w:cs="Arial"/>
          <w:color w:val="333333"/>
          <w:sz w:val="18"/>
          <w:szCs w:val="18"/>
        </w:rPr>
      </w:pPr>
    </w:p>
    <w:p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   Selbstreinigung (Auszug)</w:t>
      </w:r>
    </w:p>
    <w:p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rsidR="004163D6" w:rsidRPr="00A53FCE" w:rsidRDefault="004163D6" w:rsidP="004163D6">
      <w:pPr>
        <w:spacing w:after="60"/>
        <w:ind w:right="142"/>
        <w:jc w:val="both"/>
        <w:rPr>
          <w:rFonts w:ascii="Arial Narrow" w:hAnsi="Arial Narrow" w:cs="Arial"/>
          <w:color w:val="333333"/>
          <w:sz w:val="18"/>
          <w:szCs w:val="18"/>
        </w:rPr>
      </w:pPr>
    </w:p>
    <w:sectPr w:rsidR="004163D6" w:rsidRPr="00A53FCE" w:rsidSect="0043402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7B9" w:rsidRDefault="002D77B9" w:rsidP="005575FF">
      <w:r>
        <w:separator/>
      </w:r>
    </w:p>
  </w:endnote>
  <w:endnote w:type="continuationSeparator" w:id="0">
    <w:p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8C8" w:rsidRDefault="004478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478C8">
      <w:rPr>
        <w:rStyle w:val="Seitenzahl"/>
        <w:rFonts w:ascii="Arial" w:hAnsi="Arial" w:cs="Arial"/>
        <w:i/>
        <w:noProof/>
        <w:sz w:val="12"/>
        <w:szCs w:val="12"/>
      </w:rPr>
      <w:t>VgV_III_4-10_D7_Erklärung_zwingende-Ausschlussgründe_e_230717.docx</w:t>
    </w:r>
    <w:r w:rsidRPr="00126228">
      <w:rPr>
        <w:rStyle w:val="Seitenzahl"/>
        <w:rFonts w:ascii="Arial" w:hAnsi="Arial" w:cs="Arial"/>
        <w:i/>
        <w:sz w:val="12"/>
        <w:szCs w:val="12"/>
      </w:rPr>
      <w:fldChar w:fldCharType="end"/>
    </w:r>
    <w:bookmarkStart w:id="2" w:name="_GoBack"/>
    <w:bookmarkEnd w:id="2"/>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8C8" w:rsidRDefault="004478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7B9" w:rsidRDefault="002D77B9" w:rsidP="005575FF">
      <w:r>
        <w:separator/>
      </w:r>
    </w:p>
  </w:footnote>
  <w:footnote w:type="continuationSeparator" w:id="0">
    <w:p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8C8" w:rsidRDefault="004478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C0098A" w:rsidTr="003B6374">
      <w:trPr>
        <w:cantSplit/>
        <w:trHeight w:hRule="exact" w:val="567"/>
      </w:trPr>
      <w:tc>
        <w:tcPr>
          <w:tcW w:w="9494" w:type="dxa"/>
          <w:shd w:val="clear" w:color="auto" w:fill="auto"/>
        </w:tcPr>
        <w:p w:rsidR="00C0098A" w:rsidRDefault="00C0098A" w:rsidP="003B6374">
          <w:pPr>
            <w:pStyle w:val="Kopfzeile"/>
            <w:spacing w:before="120" w:after="120"/>
            <w:jc w:val="center"/>
          </w:pPr>
          <w:r>
            <w:rPr>
              <w:noProof/>
            </w:rPr>
            <w:drawing>
              <wp:inline distT="0" distB="0" distL="0" distR="0" wp14:anchorId="7802090F" wp14:editId="012286A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rsidR="00C0098A" w:rsidRPr="004667E1" w:rsidRDefault="00C0098A" w:rsidP="00C0098A">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8C8" w:rsidRDefault="004478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0"/>
  </w:num>
  <w:num w:numId="3">
    <w:abstractNumId w:val="2"/>
  </w:num>
  <w:num w:numId="4">
    <w:abstractNumId w:val="7"/>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6"/>
  </w:num>
  <w:num w:numId="9">
    <w:abstractNumId w:val="10"/>
  </w:num>
  <w:num w:numId="10">
    <w:abstractNumId w:val="8"/>
  </w:num>
  <w:num w:numId="11">
    <w:abstractNumId w:val="4"/>
  </w:num>
  <w:num w:numId="12">
    <w:abstractNumId w:val="0"/>
  </w:num>
  <w:num w:numId="13">
    <w:abstractNumId w:val="1"/>
  </w:num>
  <w:num w:numId="14">
    <w:abstractNumId w:val="9"/>
  </w:num>
  <w:num w:numId="15">
    <w:abstractNumId w:val="5"/>
  </w:num>
  <w:num w:numId="16">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5252"/>
    <w:rsid w:val="0011525E"/>
    <w:rsid w:val="00123626"/>
    <w:rsid w:val="00126228"/>
    <w:rsid w:val="0013715B"/>
    <w:rsid w:val="0014338E"/>
    <w:rsid w:val="00155EE3"/>
    <w:rsid w:val="00157969"/>
    <w:rsid w:val="001826F5"/>
    <w:rsid w:val="001C3552"/>
    <w:rsid w:val="001C63CA"/>
    <w:rsid w:val="001E58B8"/>
    <w:rsid w:val="0020225D"/>
    <w:rsid w:val="00222555"/>
    <w:rsid w:val="00227B95"/>
    <w:rsid w:val="0023536B"/>
    <w:rsid w:val="00254935"/>
    <w:rsid w:val="00254C0B"/>
    <w:rsid w:val="00271A6A"/>
    <w:rsid w:val="00275095"/>
    <w:rsid w:val="002831C6"/>
    <w:rsid w:val="00295C39"/>
    <w:rsid w:val="002C6478"/>
    <w:rsid w:val="002D16DE"/>
    <w:rsid w:val="002D711E"/>
    <w:rsid w:val="002D77B9"/>
    <w:rsid w:val="002E6A2F"/>
    <w:rsid w:val="002F1830"/>
    <w:rsid w:val="002F3E99"/>
    <w:rsid w:val="003021BF"/>
    <w:rsid w:val="003054DA"/>
    <w:rsid w:val="00327F26"/>
    <w:rsid w:val="00347109"/>
    <w:rsid w:val="00356190"/>
    <w:rsid w:val="0035767B"/>
    <w:rsid w:val="00362109"/>
    <w:rsid w:val="0037790A"/>
    <w:rsid w:val="00377D73"/>
    <w:rsid w:val="003A5761"/>
    <w:rsid w:val="003B004F"/>
    <w:rsid w:val="003B2F47"/>
    <w:rsid w:val="003C076C"/>
    <w:rsid w:val="003C4CD1"/>
    <w:rsid w:val="003F7BB2"/>
    <w:rsid w:val="00407F80"/>
    <w:rsid w:val="004163D6"/>
    <w:rsid w:val="00416EA2"/>
    <w:rsid w:val="00422884"/>
    <w:rsid w:val="0043402F"/>
    <w:rsid w:val="004478C8"/>
    <w:rsid w:val="00452A41"/>
    <w:rsid w:val="00493907"/>
    <w:rsid w:val="004B297C"/>
    <w:rsid w:val="004C2527"/>
    <w:rsid w:val="004E0C1C"/>
    <w:rsid w:val="004F0E90"/>
    <w:rsid w:val="004F1739"/>
    <w:rsid w:val="005164C5"/>
    <w:rsid w:val="0053368E"/>
    <w:rsid w:val="00536CDF"/>
    <w:rsid w:val="0055643B"/>
    <w:rsid w:val="005575FF"/>
    <w:rsid w:val="005647CB"/>
    <w:rsid w:val="00565A2A"/>
    <w:rsid w:val="005701F2"/>
    <w:rsid w:val="00576C88"/>
    <w:rsid w:val="005916D4"/>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A2EE6"/>
    <w:rsid w:val="006D5AF1"/>
    <w:rsid w:val="006E3C68"/>
    <w:rsid w:val="006E51CF"/>
    <w:rsid w:val="006E5322"/>
    <w:rsid w:val="006F598A"/>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52044"/>
    <w:rsid w:val="00953ACC"/>
    <w:rsid w:val="009621F3"/>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65758"/>
    <w:rsid w:val="00A74969"/>
    <w:rsid w:val="00A82B4C"/>
    <w:rsid w:val="00AA48D2"/>
    <w:rsid w:val="00AA564F"/>
    <w:rsid w:val="00AC2890"/>
    <w:rsid w:val="00AC2E5F"/>
    <w:rsid w:val="00AD2243"/>
    <w:rsid w:val="00AE6341"/>
    <w:rsid w:val="00AF15E7"/>
    <w:rsid w:val="00B01AFF"/>
    <w:rsid w:val="00B21027"/>
    <w:rsid w:val="00B3179C"/>
    <w:rsid w:val="00B31FC9"/>
    <w:rsid w:val="00B32388"/>
    <w:rsid w:val="00B43BDB"/>
    <w:rsid w:val="00B629ED"/>
    <w:rsid w:val="00B66111"/>
    <w:rsid w:val="00B86B70"/>
    <w:rsid w:val="00B95B23"/>
    <w:rsid w:val="00B9791E"/>
    <w:rsid w:val="00BA108F"/>
    <w:rsid w:val="00BA24EE"/>
    <w:rsid w:val="00BC292C"/>
    <w:rsid w:val="00BC55B9"/>
    <w:rsid w:val="00BD3A43"/>
    <w:rsid w:val="00BE61AC"/>
    <w:rsid w:val="00BF102D"/>
    <w:rsid w:val="00C0098A"/>
    <w:rsid w:val="00C15224"/>
    <w:rsid w:val="00C25F33"/>
    <w:rsid w:val="00C3620A"/>
    <w:rsid w:val="00C43B46"/>
    <w:rsid w:val="00C510B0"/>
    <w:rsid w:val="00C523A6"/>
    <w:rsid w:val="00C60279"/>
    <w:rsid w:val="00C6228C"/>
    <w:rsid w:val="00C642D4"/>
    <w:rsid w:val="00C66C06"/>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50DB"/>
    <w:rsid w:val="00D63358"/>
    <w:rsid w:val="00D73C8A"/>
    <w:rsid w:val="00D75524"/>
    <w:rsid w:val="00D87708"/>
    <w:rsid w:val="00DA1A18"/>
    <w:rsid w:val="00DB2188"/>
    <w:rsid w:val="00DC3C71"/>
    <w:rsid w:val="00DC5498"/>
    <w:rsid w:val="00DD3073"/>
    <w:rsid w:val="00DD5982"/>
    <w:rsid w:val="00DE00D5"/>
    <w:rsid w:val="00DE59E2"/>
    <w:rsid w:val="00E03845"/>
    <w:rsid w:val="00E11849"/>
    <w:rsid w:val="00E21207"/>
    <w:rsid w:val="00E248B6"/>
    <w:rsid w:val="00E319EF"/>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80141"/>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C0098A"/>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A55AE-8EB0-447F-BBCC-A8D5554E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8067</Characters>
  <Application>Microsoft Office Word</Application>
  <DocSecurity>2</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2010-04-29T09:59:00Z</cp:lastPrinted>
  <dcterms:created xsi:type="dcterms:W3CDTF">2023-07-17T12:44:00Z</dcterms:created>
  <dcterms:modified xsi:type="dcterms:W3CDTF">2023-07-17T12:45:00Z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