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8C9B" w14:textId="77777777" w:rsidR="006E3DD3" w:rsidRPr="005A1F7D" w:rsidRDefault="00000000" w:rsidP="00906AD7">
      <w:pPr>
        <w:jc w:val="center"/>
        <w:rPr>
          <w:rFonts w:ascii="Calibri Light" w:hAnsi="Calibri Light" w:cs="Calibri Light"/>
          <w:b/>
          <w:bCs/>
          <w:color w:val="1F497D" w:themeColor="text2"/>
          <w:sz w:val="40"/>
          <w:szCs w:val="40"/>
          <w:lang w:val="de-DE"/>
        </w:rPr>
      </w:pPr>
      <w:r w:rsidRPr="005A1F7D">
        <w:rPr>
          <w:rFonts w:ascii="Calibri Light" w:hAnsi="Calibri Light" w:cs="Calibri Light"/>
          <w:b/>
          <w:bCs/>
          <w:color w:val="1F497D" w:themeColor="text2"/>
          <w:sz w:val="40"/>
          <w:szCs w:val="40"/>
          <w:lang w:val="de-DE"/>
        </w:rPr>
        <w:t>TELESERVICEVEREINBARUNG</w:t>
      </w:r>
    </w:p>
    <w:p w14:paraId="34E50FEB" w14:textId="0C23FE3B" w:rsidR="006E3DD3" w:rsidRPr="005A1F7D" w:rsidRDefault="00000000" w:rsidP="00906AD7">
      <w:pPr>
        <w:jc w:val="center"/>
        <w:rPr>
          <w:rFonts w:cs="Calibri"/>
          <w:lang w:val="de-DE"/>
        </w:rPr>
      </w:pPr>
      <w:r w:rsidRPr="005A1F7D">
        <w:rPr>
          <w:rFonts w:cs="Calibri"/>
          <w:lang w:val="de-DE"/>
        </w:rPr>
        <w:t xml:space="preserve">Anlage Nr. </w:t>
      </w:r>
      <w:r w:rsidR="00DC1047" w:rsidRPr="005A1F7D">
        <w:rPr>
          <w:rFonts w:cs="Calibri"/>
          <w:lang w:val="de-DE"/>
        </w:rPr>
        <w:t xml:space="preserve">4 </w:t>
      </w:r>
      <w:r w:rsidRPr="005A1F7D">
        <w:rPr>
          <w:rFonts w:cs="Calibri"/>
          <w:lang w:val="de-DE"/>
        </w:rPr>
        <w:t>zum EVB-IT Systemvertrag „WLAN</w:t>
      </w:r>
      <w:r w:rsidR="00BA1F08">
        <w:rPr>
          <w:rFonts w:cs="Calibri"/>
          <w:lang w:val="de-DE"/>
        </w:rPr>
        <w:t>-Firewall</w:t>
      </w:r>
      <w:r w:rsidRPr="005A1F7D">
        <w:rPr>
          <w:rFonts w:cs="Calibri"/>
          <w:lang w:val="de-DE"/>
        </w:rPr>
        <w:t>2026“</w:t>
      </w:r>
    </w:p>
    <w:p w14:paraId="52A07CB7" w14:textId="77777777" w:rsidR="006E3DD3" w:rsidRPr="005A1F7D" w:rsidRDefault="006E3DD3" w:rsidP="00906AD7">
      <w:pPr>
        <w:jc w:val="center"/>
        <w:rPr>
          <w:rFonts w:cs="Calibri"/>
          <w:lang w:val="de-DE"/>
        </w:rPr>
      </w:pPr>
    </w:p>
    <w:p w14:paraId="71DD6A38" w14:textId="77777777" w:rsidR="006E3DD3" w:rsidRPr="005A1F7D" w:rsidRDefault="00000000" w:rsidP="00906AD7">
      <w:pPr>
        <w:jc w:val="center"/>
        <w:rPr>
          <w:rFonts w:cs="Calibri"/>
          <w:lang w:val="de-DE"/>
        </w:rPr>
      </w:pPr>
      <w:r w:rsidRPr="005A1F7D">
        <w:rPr>
          <w:rFonts w:cs="Calibri"/>
          <w:lang w:val="de-DE"/>
        </w:rPr>
        <w:t>zwischen</w:t>
      </w:r>
    </w:p>
    <w:p w14:paraId="5640DC34" w14:textId="77777777" w:rsidR="006E3DD3" w:rsidRPr="005A1F7D" w:rsidRDefault="006E3DD3" w:rsidP="00906AD7">
      <w:pPr>
        <w:jc w:val="center"/>
        <w:rPr>
          <w:rFonts w:cs="Calibri"/>
          <w:lang w:val="de-DE"/>
        </w:rPr>
      </w:pPr>
    </w:p>
    <w:p w14:paraId="4D4D1F8C" w14:textId="77777777" w:rsidR="00DC1047" w:rsidRPr="005A1F7D" w:rsidRDefault="00000000" w:rsidP="00906AD7">
      <w:pPr>
        <w:jc w:val="center"/>
        <w:rPr>
          <w:rFonts w:cs="Calibri"/>
          <w:lang w:val="de-DE"/>
        </w:rPr>
      </w:pPr>
      <w:r w:rsidRPr="005A1F7D">
        <w:rPr>
          <w:rFonts w:cs="Calibri"/>
          <w:b/>
          <w:lang w:val="de-DE"/>
        </w:rPr>
        <w:t>WERK1.Bayern GmbH</w:t>
      </w:r>
      <w:r w:rsidRPr="005A1F7D">
        <w:rPr>
          <w:rFonts w:cs="Calibri"/>
          <w:lang w:val="de-DE"/>
        </w:rPr>
        <w:t>, Am Kartoffelgarten 14, 81671 München</w:t>
      </w:r>
      <w:r w:rsidRPr="005A1F7D">
        <w:rPr>
          <w:rFonts w:cs="Calibri"/>
          <w:lang w:val="de-DE"/>
        </w:rPr>
        <w:br/>
        <w:t>– nachfolgend „AG“ –</w:t>
      </w:r>
      <w:r w:rsidRPr="005A1F7D">
        <w:rPr>
          <w:rFonts w:cs="Calibri"/>
          <w:lang w:val="de-DE"/>
        </w:rPr>
        <w:br/>
      </w:r>
    </w:p>
    <w:p w14:paraId="4A0AF4EB" w14:textId="05435C08" w:rsidR="00DC1047" w:rsidRPr="005A1F7D" w:rsidRDefault="00DC1047" w:rsidP="00906AD7">
      <w:pPr>
        <w:jc w:val="center"/>
        <w:rPr>
          <w:rFonts w:cs="Calibri"/>
          <w:lang w:val="de-DE"/>
        </w:rPr>
      </w:pPr>
      <w:r w:rsidRPr="005A1F7D">
        <w:rPr>
          <w:rFonts w:cs="Calibri"/>
          <w:lang w:val="de-DE"/>
        </w:rPr>
        <w:t>und</w:t>
      </w:r>
    </w:p>
    <w:p w14:paraId="6586AFEC" w14:textId="77777777" w:rsidR="00DC1047" w:rsidRPr="005A1F7D" w:rsidRDefault="00DC1047" w:rsidP="00906AD7">
      <w:pPr>
        <w:jc w:val="center"/>
        <w:rPr>
          <w:rFonts w:cs="Calibri"/>
          <w:lang w:val="de-DE"/>
        </w:rPr>
      </w:pPr>
    </w:p>
    <w:p w14:paraId="114CAC75" w14:textId="43B44AA4" w:rsidR="006E3DD3" w:rsidRPr="005A1F7D" w:rsidRDefault="00DC1047" w:rsidP="00906AD7">
      <w:pPr>
        <w:jc w:val="center"/>
        <w:rPr>
          <w:rFonts w:cs="Calibri"/>
          <w:lang w:val="de-DE"/>
        </w:rPr>
      </w:pP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instrText xml:space="preserve">FORMTEXT </w:instrText>
      </w:r>
      <w:r w:rsidRPr="005A1F7D">
        <w:rPr>
          <w:rStyle w:val="Formularfeld"/>
          <w:rFonts w:ascii="Calibri" w:hAnsi="Calibri" w:cs="Calibri"/>
          <w:highlight w:val="yellow"/>
          <w:lang w:val="de-DE"/>
        </w:rP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separate"/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end"/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instrText xml:space="preserve">FORMTEXT </w:instrText>
      </w:r>
      <w:r w:rsidRPr="005A1F7D">
        <w:rPr>
          <w:rStyle w:val="Formularfeld"/>
          <w:rFonts w:ascii="Calibri" w:hAnsi="Calibri" w:cs="Calibri"/>
          <w:highlight w:val="yellow"/>
          <w:lang w:val="de-DE"/>
        </w:rP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separate"/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end"/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instrText xml:space="preserve">FORMTEXT </w:instrText>
      </w:r>
      <w:r w:rsidRPr="005A1F7D">
        <w:rPr>
          <w:rStyle w:val="Formularfeld"/>
          <w:rFonts w:ascii="Calibri" w:hAnsi="Calibri" w:cs="Calibri"/>
          <w:highlight w:val="yellow"/>
          <w:lang w:val="de-DE"/>
        </w:rP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separate"/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end"/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instrText xml:space="preserve">FORMTEXT </w:instrText>
      </w:r>
      <w:r w:rsidRPr="005A1F7D">
        <w:rPr>
          <w:rStyle w:val="Formularfeld"/>
          <w:rFonts w:ascii="Calibri" w:hAnsi="Calibri" w:cs="Calibri"/>
          <w:highlight w:val="yellow"/>
          <w:lang w:val="de-DE"/>
        </w:rP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separate"/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end"/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instrText xml:space="preserve">FORMTEXT </w:instrText>
      </w:r>
      <w:r w:rsidRPr="005A1F7D">
        <w:rPr>
          <w:rStyle w:val="Formularfeld"/>
          <w:rFonts w:ascii="Calibri" w:hAnsi="Calibri" w:cs="Calibri"/>
          <w:highlight w:val="yellow"/>
          <w:lang w:val="de-DE"/>
        </w:rP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separate"/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end"/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instrText xml:space="preserve">FORMTEXT </w:instrText>
      </w:r>
      <w:r w:rsidRPr="005A1F7D">
        <w:rPr>
          <w:rStyle w:val="Formularfeld"/>
          <w:rFonts w:ascii="Calibri" w:hAnsi="Calibri" w:cs="Calibri"/>
          <w:highlight w:val="yellow"/>
          <w:lang w:val="de-DE"/>
        </w:rPr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separate"/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t> </w:t>
      </w:r>
      <w:r w:rsidRPr="005A1F7D">
        <w:rPr>
          <w:rStyle w:val="Formularfeld"/>
          <w:rFonts w:ascii="Calibri" w:hAnsi="Calibri" w:cs="Calibri"/>
          <w:highlight w:val="yellow"/>
          <w:lang w:val="de-DE"/>
        </w:rPr>
        <w:fldChar w:fldCharType="end"/>
      </w:r>
      <w:r w:rsidRPr="005A1F7D">
        <w:rPr>
          <w:rFonts w:cs="Calibri"/>
          <w:lang w:val="de-DE"/>
        </w:rPr>
        <w:br/>
      </w:r>
      <w:r w:rsidRPr="00417158">
        <w:rPr>
          <w:rFonts w:cs="Calibri"/>
          <w:bCs/>
          <w:highlight w:val="yellow"/>
          <w:lang w:val="de-DE"/>
        </w:rPr>
        <w:t>[</w:t>
      </w:r>
      <w:r w:rsidR="008527FE" w:rsidRPr="00417158">
        <w:rPr>
          <w:rFonts w:cs="Calibri"/>
          <w:bCs/>
          <w:highlight w:val="yellow"/>
          <w:lang w:val="de-DE"/>
        </w:rPr>
        <w:t>Unternehmen</w:t>
      </w:r>
      <w:r w:rsidRPr="00417158">
        <w:rPr>
          <w:rFonts w:cs="Calibri"/>
          <w:bCs/>
          <w:highlight w:val="yellow"/>
          <w:lang w:val="de-DE"/>
        </w:rPr>
        <w:t xml:space="preserve">, </w:t>
      </w:r>
      <w:r w:rsidR="008527FE" w:rsidRPr="00417158">
        <w:rPr>
          <w:rFonts w:cs="Calibri"/>
          <w:bCs/>
          <w:highlight w:val="yellow"/>
          <w:lang w:val="de-DE"/>
        </w:rPr>
        <w:t>Straße, Hausnummer, PLZ, Stadt</w:t>
      </w:r>
      <w:r w:rsidRPr="00417158">
        <w:rPr>
          <w:rFonts w:cs="Calibri"/>
          <w:bCs/>
          <w:highlight w:val="yellow"/>
          <w:lang w:val="de-DE"/>
        </w:rPr>
        <w:t>]</w:t>
      </w:r>
      <w:r w:rsidRPr="005A1F7D">
        <w:rPr>
          <w:rFonts w:cs="Calibri"/>
          <w:lang w:val="de-DE"/>
        </w:rPr>
        <w:br/>
        <w:t>– nachfolgend „AN“ –</w:t>
      </w:r>
    </w:p>
    <w:p w14:paraId="109741AF" w14:textId="77777777" w:rsidR="0051493F" w:rsidRDefault="0051493F" w:rsidP="00EE1600">
      <w:pPr>
        <w:jc w:val="both"/>
        <w:rPr>
          <w:rFonts w:cs="Calibri"/>
          <w:lang w:val="de-DE"/>
        </w:rPr>
        <w:sectPr w:rsidR="0051493F" w:rsidSect="00C24778">
          <w:footerReference w:type="default" r:id="rId8"/>
          <w:pgSz w:w="12240" w:h="15840"/>
          <w:pgMar w:top="1440" w:right="1800" w:bottom="1440" w:left="1800" w:header="720" w:footer="720" w:gutter="0"/>
          <w:cols w:space="720"/>
          <w:formProt w:val="0"/>
          <w:titlePg/>
          <w:docGrid w:linePitch="360"/>
        </w:sectPr>
      </w:pPr>
    </w:p>
    <w:p w14:paraId="4580B7C1" w14:textId="77777777" w:rsidR="006E3DD3" w:rsidRPr="005A1F7D" w:rsidRDefault="006E3DD3" w:rsidP="00EE1600">
      <w:pPr>
        <w:jc w:val="both"/>
        <w:rPr>
          <w:rFonts w:cs="Calibri"/>
          <w:lang w:val="de-DE"/>
        </w:rPr>
      </w:pPr>
    </w:p>
    <w:p w14:paraId="76164A3E" w14:textId="77777777" w:rsidR="006E3DD3" w:rsidRPr="005A1F7D" w:rsidRDefault="00000000" w:rsidP="00EE1600">
      <w:pPr>
        <w:pStyle w:val="berschrift1"/>
        <w:jc w:val="both"/>
        <w:rPr>
          <w:rFonts w:ascii="Calibri Light" w:hAnsi="Calibri Light" w:cs="Calibri Light"/>
          <w:sz w:val="26"/>
          <w:szCs w:val="26"/>
          <w:lang w:val="de-DE"/>
        </w:rPr>
      </w:pPr>
      <w:r w:rsidRPr="005A1F7D">
        <w:rPr>
          <w:rFonts w:ascii="Calibri Light" w:hAnsi="Calibri Light" w:cs="Calibri Light"/>
          <w:sz w:val="26"/>
          <w:szCs w:val="26"/>
          <w:lang w:val="de-DE"/>
        </w:rPr>
        <w:t>1. Zweck und Vertragsbezug</w:t>
      </w:r>
    </w:p>
    <w:p w14:paraId="502B1247" w14:textId="05C7A48D" w:rsidR="006E3DD3" w:rsidRPr="005A1F7D" w:rsidRDefault="00000000" w:rsidP="001054AD">
      <w:pPr>
        <w:ind w:left="28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 xml:space="preserve">Diese Teleservicevereinbarung regelt die Erbringung von Leistungen mittels Fernzugriff („Teleservice“) im Rahmen des EVB-IT Systemvertrags „WLAN2026“ </w:t>
      </w:r>
      <w:r w:rsidR="00DC1047" w:rsidRPr="005A1F7D">
        <w:rPr>
          <w:rFonts w:cs="Calibri"/>
          <w:lang w:val="de-DE"/>
        </w:rPr>
        <w:t xml:space="preserve">(im Folgenden „Hauptvertrag”) </w:t>
      </w:r>
      <w:r w:rsidRPr="005A1F7D">
        <w:rPr>
          <w:rFonts w:cs="Calibri"/>
          <w:lang w:val="de-DE"/>
        </w:rPr>
        <w:t>einschließlich Leistungsbeschreibung/Leistungsverzeichnis und der dazugehörigen Anlagen. Sie konkretisiert insbesondere die sichere Durchführung von Remote-Wartung, Updates/Upgrades sowie operativen Tätigkeiten (z. B. Resident Management).</w:t>
      </w:r>
    </w:p>
    <w:p w14:paraId="1F68FAE6" w14:textId="77777777" w:rsidR="006E3DD3" w:rsidRPr="005A1F7D" w:rsidRDefault="00000000" w:rsidP="00EE1600">
      <w:pPr>
        <w:pStyle w:val="berschrift1"/>
        <w:jc w:val="both"/>
        <w:rPr>
          <w:rFonts w:ascii="Calibri Light" w:hAnsi="Calibri Light" w:cs="Calibri Light"/>
          <w:sz w:val="26"/>
          <w:szCs w:val="26"/>
          <w:lang w:val="de-DE"/>
        </w:rPr>
      </w:pPr>
      <w:r w:rsidRPr="005A1F7D">
        <w:rPr>
          <w:rFonts w:ascii="Calibri Light" w:hAnsi="Calibri Light" w:cs="Calibri Light"/>
          <w:sz w:val="26"/>
          <w:szCs w:val="26"/>
          <w:lang w:val="de-DE"/>
        </w:rPr>
        <w:t>2. Begriffe</w:t>
      </w:r>
    </w:p>
    <w:p w14:paraId="196DF983" w14:textId="77777777" w:rsidR="006E3DD3" w:rsidRPr="005A1F7D" w:rsidRDefault="00000000" w:rsidP="001054AD">
      <w:pPr>
        <w:pStyle w:val="Aufzhlungszeichen"/>
        <w:tabs>
          <w:tab w:val="clear" w:pos="360"/>
          <w:tab w:val="num" w:pos="720"/>
        </w:tabs>
        <w:ind w:left="720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„Teleservice“: Durchführung von Service-, Support-, Wartungs- und Administrationsleistungen über Fernzugriff auf Systeme/Komponenten des AG bzw. auf die vom AG genutzten Management- und Monitoring-Plattformen.</w:t>
      </w:r>
    </w:p>
    <w:p w14:paraId="2B09D3A8" w14:textId="76A0436D" w:rsidR="006E3DD3" w:rsidRPr="005A1F7D" w:rsidRDefault="00000000" w:rsidP="001054AD">
      <w:pPr>
        <w:pStyle w:val="Aufzhlungszeichen"/>
        <w:tabs>
          <w:tab w:val="clear" w:pos="360"/>
          <w:tab w:val="num" w:pos="720"/>
        </w:tabs>
        <w:ind w:left="720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 xml:space="preserve">„Systeme“: WLAN-, Switch- und Firewall-Infrastruktur an den Standorten des AG sowie deren Management-/Monitoring-Systeme (inkl. Cloud-Management), soweit vom </w:t>
      </w:r>
      <w:r w:rsidR="00DC1047" w:rsidRPr="005A1F7D">
        <w:rPr>
          <w:rFonts w:cs="Calibri"/>
          <w:lang w:val="de-DE"/>
        </w:rPr>
        <w:t xml:space="preserve">Hauptvertrag </w:t>
      </w:r>
      <w:r w:rsidRPr="005A1F7D">
        <w:rPr>
          <w:rFonts w:cs="Calibri"/>
          <w:lang w:val="de-DE"/>
        </w:rPr>
        <w:t>umfasst.</w:t>
      </w:r>
    </w:p>
    <w:p w14:paraId="3309AF4C" w14:textId="77777777" w:rsidR="006E3DD3" w:rsidRPr="005A1F7D" w:rsidRDefault="00000000" w:rsidP="001054AD">
      <w:pPr>
        <w:pStyle w:val="Aufzhlungszeichen"/>
        <w:tabs>
          <w:tab w:val="clear" w:pos="360"/>
          <w:tab w:val="num" w:pos="720"/>
        </w:tabs>
        <w:ind w:left="720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„Autorisierter Mitarbeiter“: Vom AN benannter und vom AG freigegebener Mitarbeiter, der Teleservice durchführen darf.</w:t>
      </w:r>
    </w:p>
    <w:p w14:paraId="4887CFF5" w14:textId="77777777" w:rsidR="00906AD7" w:rsidRPr="005A1F7D" w:rsidRDefault="00906AD7" w:rsidP="00906AD7">
      <w:pPr>
        <w:pStyle w:val="Aufzhlungszeichen"/>
        <w:numPr>
          <w:ilvl w:val="0"/>
          <w:numId w:val="0"/>
        </w:numPr>
        <w:ind w:left="360" w:hanging="360"/>
        <w:jc w:val="both"/>
        <w:rPr>
          <w:rFonts w:cs="Calibri"/>
          <w:lang w:val="de-DE"/>
        </w:rPr>
      </w:pPr>
    </w:p>
    <w:p w14:paraId="1596B33B" w14:textId="77777777" w:rsidR="006E3DD3" w:rsidRPr="005A1F7D" w:rsidRDefault="00000000" w:rsidP="00EE1600">
      <w:pPr>
        <w:pStyle w:val="berschrift1"/>
        <w:jc w:val="both"/>
        <w:rPr>
          <w:rFonts w:ascii="Calibri Light" w:hAnsi="Calibri Light" w:cs="Calibri Light"/>
          <w:sz w:val="26"/>
          <w:szCs w:val="26"/>
          <w:lang w:val="de-DE"/>
        </w:rPr>
      </w:pPr>
      <w:r w:rsidRPr="005A1F7D">
        <w:rPr>
          <w:rFonts w:ascii="Calibri Light" w:hAnsi="Calibri Light" w:cs="Calibri Light"/>
          <w:sz w:val="26"/>
          <w:szCs w:val="26"/>
          <w:lang w:val="de-DE"/>
        </w:rPr>
        <w:lastRenderedPageBreak/>
        <w:t>3. Leistungsumfang des Teleservice</w:t>
      </w:r>
    </w:p>
    <w:p w14:paraId="51668FE3" w14:textId="5E441AEE" w:rsidR="006E3DD3" w:rsidRPr="005A1F7D" w:rsidRDefault="00000000" w:rsidP="001054AD">
      <w:pPr>
        <w:ind w:left="28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 xml:space="preserve">Der AN darf Teleservice ausschließlich zur </w:t>
      </w:r>
      <w:r w:rsidR="00DC1047" w:rsidRPr="005A1F7D">
        <w:rPr>
          <w:rFonts w:cs="Calibri"/>
          <w:lang w:val="de-DE"/>
        </w:rPr>
        <w:t xml:space="preserve">Erfüllung des Hauptvertrages </w:t>
      </w:r>
      <w:r w:rsidRPr="005A1F7D">
        <w:rPr>
          <w:rFonts w:cs="Calibri"/>
          <w:lang w:val="de-DE"/>
        </w:rPr>
        <w:t>erbringen. Dies umfasst insbesondere:</w:t>
      </w:r>
    </w:p>
    <w:p w14:paraId="66AACCCE" w14:textId="77777777" w:rsidR="006E3DD3" w:rsidRPr="005A1F7D" w:rsidRDefault="00000000" w:rsidP="001054AD">
      <w:pPr>
        <w:pStyle w:val="Aufzhlungszeichen"/>
        <w:tabs>
          <w:tab w:val="clear" w:pos="360"/>
          <w:tab w:val="num" w:pos="72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Remote-Wartung der WLAN-, Switch- und Firewall-Infrastruktur, einschließlich regelmäßiger Regelpflege (Firewall) und Systempflege.</w:t>
      </w:r>
    </w:p>
    <w:p w14:paraId="417FF6C4" w14:textId="77777777" w:rsidR="006E3DD3" w:rsidRPr="005A1F7D" w:rsidRDefault="00000000" w:rsidP="001054AD">
      <w:pPr>
        <w:pStyle w:val="Aufzhlungszeichen"/>
        <w:tabs>
          <w:tab w:val="clear" w:pos="360"/>
          <w:tab w:val="num" w:pos="72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Bereitstellung und Einspielung von Software-Updates, Firmware-Upgrades sowie Releases/Versionen, soweit zum Betrieb notwendig und von laufenden Lizenzen gedeckt.</w:t>
      </w:r>
    </w:p>
    <w:p w14:paraId="652AA7AD" w14:textId="77777777" w:rsidR="006E3DD3" w:rsidRPr="005A1F7D" w:rsidRDefault="00000000" w:rsidP="001054AD">
      <w:pPr>
        <w:pStyle w:val="Aufzhlungszeichen"/>
        <w:tabs>
          <w:tab w:val="clear" w:pos="360"/>
          <w:tab w:val="num" w:pos="72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 xml:space="preserve">Monitoring und Alarmierung (inkl. </w:t>
      </w:r>
      <w:proofErr w:type="spellStart"/>
      <w:r w:rsidRPr="005A1F7D">
        <w:rPr>
          <w:rFonts w:cs="Calibri"/>
          <w:lang w:val="de-DE"/>
        </w:rPr>
        <w:t>Incident</w:t>
      </w:r>
      <w:proofErr w:type="spellEnd"/>
      <w:r w:rsidRPr="005A1F7D">
        <w:rPr>
          <w:rFonts w:cs="Calibri"/>
          <w:lang w:val="de-DE"/>
        </w:rPr>
        <w:t>-Response-Schnittstelle) sowie Fehleranalyse; Monitoring-Daten werden zum Zwecke der Fehleranalyse für mindestens 14 Tage bereitgehalten.</w:t>
      </w:r>
    </w:p>
    <w:p w14:paraId="306F75F5" w14:textId="77777777" w:rsidR="006E3DD3" w:rsidRPr="005A1F7D" w:rsidRDefault="00000000" w:rsidP="001054AD">
      <w:pPr>
        <w:pStyle w:val="Aufzhlungszeichen"/>
        <w:tabs>
          <w:tab w:val="clear" w:pos="360"/>
          <w:tab w:val="num" w:pos="72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Durchführung von Konfigurationsänderungen auf Anforderung des AG (z. B. Anpassung von VLANs/SSIDs/PSKs), inklusive Dokumentationspflege.</w:t>
      </w:r>
    </w:p>
    <w:p w14:paraId="3F0D173D" w14:textId="77777777" w:rsidR="006E3DD3" w:rsidRPr="005A1F7D" w:rsidRDefault="00000000" w:rsidP="001054AD">
      <w:pPr>
        <w:pStyle w:val="Aufzhlungszeichen"/>
        <w:tabs>
          <w:tab w:val="clear" w:pos="360"/>
          <w:tab w:val="num" w:pos="72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Resident Management: Einrichten/Ändern/Deaktivieren von mieterbezogenen Konfigurationen (VLAN, IP-Adressen, DPSK-WLAN, physikalische Anschlüsse) einschließlich Vollzugsmeldung an den AG; Remote-Durchführung ist zulässig.</w:t>
      </w:r>
    </w:p>
    <w:p w14:paraId="744153D4" w14:textId="77777777" w:rsidR="006E3DD3" w:rsidRPr="005A1F7D" w:rsidRDefault="00000000" w:rsidP="001054AD">
      <w:pPr>
        <w:pStyle w:val="Aufzhlungszeichen"/>
        <w:tabs>
          <w:tab w:val="clear" w:pos="360"/>
          <w:tab w:val="num" w:pos="72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Erstellung/Aktualisierung der Systemdokumentation und Bereitstellung in elektronischer Form.</w:t>
      </w:r>
    </w:p>
    <w:p w14:paraId="0939CF99" w14:textId="77777777" w:rsidR="006E3DD3" w:rsidRPr="005A1F7D" w:rsidRDefault="00000000" w:rsidP="001054AD">
      <w:pPr>
        <w:ind w:left="28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Leistungen, die zwingend physische Arbeiten erfordern (z. B. Hardwaretausch), erfolgen vor Ort nach Maßgabe des Vertrags.</w:t>
      </w:r>
    </w:p>
    <w:p w14:paraId="09DDE37F" w14:textId="77777777" w:rsidR="006E3DD3" w:rsidRPr="005A1F7D" w:rsidRDefault="00000000" w:rsidP="00EE1600">
      <w:pPr>
        <w:pStyle w:val="berschrift1"/>
        <w:jc w:val="both"/>
        <w:rPr>
          <w:rFonts w:ascii="Calibri Light" w:hAnsi="Calibri Light" w:cs="Calibri Light"/>
          <w:sz w:val="26"/>
          <w:szCs w:val="26"/>
          <w:lang w:val="de-DE"/>
        </w:rPr>
      </w:pPr>
      <w:r w:rsidRPr="005A1F7D">
        <w:rPr>
          <w:rFonts w:ascii="Calibri Light" w:hAnsi="Calibri Light" w:cs="Calibri Light"/>
          <w:sz w:val="26"/>
          <w:szCs w:val="26"/>
          <w:lang w:val="de-DE"/>
        </w:rPr>
        <w:t>4. Zugangswege und Sicherheitsanforderungen</w:t>
      </w:r>
    </w:p>
    <w:p w14:paraId="206D3A7B" w14:textId="77777777" w:rsidR="006E3DD3" w:rsidRPr="005A1F7D" w:rsidRDefault="00000000" w:rsidP="00F065E1">
      <w:pPr>
        <w:ind w:left="284"/>
        <w:jc w:val="both"/>
        <w:rPr>
          <w:rFonts w:ascii="Calibri Light" w:hAnsi="Calibri Light" w:cs="Calibri Light"/>
          <w:b/>
          <w:bCs/>
          <w:color w:val="1F497D" w:themeColor="text2"/>
          <w:lang w:val="de-DE"/>
        </w:rPr>
      </w:pPr>
      <w:r w:rsidRPr="005A1F7D">
        <w:rPr>
          <w:rFonts w:ascii="Calibri Light" w:hAnsi="Calibri Light" w:cs="Calibri Light"/>
          <w:b/>
          <w:bCs/>
          <w:color w:val="1F497D" w:themeColor="text2"/>
          <w:lang w:val="de-DE"/>
        </w:rPr>
        <w:t>4.1 Grundsätze</w:t>
      </w:r>
    </w:p>
    <w:p w14:paraId="19695521" w14:textId="77777777" w:rsidR="006E3DD3" w:rsidRPr="005A1F7D" w:rsidRDefault="00000000" w:rsidP="00F065E1">
      <w:pPr>
        <w:pStyle w:val="Aufzhlungszeichen"/>
        <w:tabs>
          <w:tab w:val="clear" w:pos="360"/>
          <w:tab w:val="num" w:pos="720"/>
        </w:tabs>
        <w:ind w:left="720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Teleservice erfolgt ausschließlich über vom AG freigegebene Zugangswege und ausschließlich durch autorisierte Mitarbeiter des AN.</w:t>
      </w:r>
    </w:p>
    <w:p w14:paraId="78F3A1A9" w14:textId="77777777" w:rsidR="006E3DD3" w:rsidRPr="005A1F7D" w:rsidRDefault="00000000" w:rsidP="00F065E1">
      <w:pPr>
        <w:pStyle w:val="Aufzhlungszeichen"/>
        <w:tabs>
          <w:tab w:val="clear" w:pos="360"/>
          <w:tab w:val="num" w:pos="720"/>
        </w:tabs>
        <w:ind w:left="720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Der Zugriff erfolgt nach dem Need-</w:t>
      </w:r>
      <w:proofErr w:type="spellStart"/>
      <w:r w:rsidRPr="005A1F7D">
        <w:rPr>
          <w:rFonts w:cs="Calibri"/>
          <w:lang w:val="de-DE"/>
        </w:rPr>
        <w:t>to</w:t>
      </w:r>
      <w:proofErr w:type="spellEnd"/>
      <w:r w:rsidRPr="005A1F7D">
        <w:rPr>
          <w:rFonts w:cs="Calibri"/>
          <w:lang w:val="de-DE"/>
        </w:rPr>
        <w:t>-</w:t>
      </w:r>
      <w:proofErr w:type="spellStart"/>
      <w:r w:rsidRPr="005A1F7D">
        <w:rPr>
          <w:rFonts w:cs="Calibri"/>
          <w:lang w:val="de-DE"/>
        </w:rPr>
        <w:t>know</w:t>
      </w:r>
      <w:proofErr w:type="spellEnd"/>
      <w:r w:rsidRPr="005A1F7D">
        <w:rPr>
          <w:rFonts w:cs="Calibri"/>
          <w:lang w:val="de-DE"/>
        </w:rPr>
        <w:t>- und Least-Privilege-Prinzip. Es dürfen nur die zur Aufgabenerfüllung erforderlichen Systeme/Datensätze eingesehen/bearbeitet werden.</w:t>
      </w:r>
    </w:p>
    <w:p w14:paraId="358DC5F5" w14:textId="77777777" w:rsidR="006E3DD3" w:rsidRPr="005A1F7D" w:rsidRDefault="00000000" w:rsidP="00F065E1">
      <w:pPr>
        <w:pStyle w:val="Aufzhlungszeichen"/>
        <w:tabs>
          <w:tab w:val="clear" w:pos="360"/>
          <w:tab w:val="num" w:pos="720"/>
        </w:tabs>
        <w:ind w:left="720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Teleservice wird grundsätzlich innerhalb der EU/EWR erbracht; ein Zugriff aus Drittstaaten ist ausgeschlossen, sofern nicht ausdrücklich schriftlich durch den AG freigegeben.</w:t>
      </w:r>
    </w:p>
    <w:p w14:paraId="1AF021B2" w14:textId="77777777" w:rsidR="006E3DD3" w:rsidRPr="005A1F7D" w:rsidRDefault="00000000" w:rsidP="00F065E1">
      <w:pPr>
        <w:ind w:left="284"/>
        <w:jc w:val="both"/>
        <w:rPr>
          <w:rFonts w:ascii="Calibri Light" w:hAnsi="Calibri Light" w:cs="Calibri Light"/>
          <w:b/>
          <w:bCs/>
          <w:color w:val="1F497D" w:themeColor="text2"/>
          <w:lang w:val="de-DE"/>
        </w:rPr>
      </w:pPr>
      <w:r w:rsidRPr="005A1F7D">
        <w:rPr>
          <w:rFonts w:ascii="Calibri Light" w:hAnsi="Calibri Light" w:cs="Calibri Light"/>
          <w:b/>
          <w:bCs/>
          <w:color w:val="1F497D" w:themeColor="text2"/>
          <w:lang w:val="de-DE"/>
        </w:rPr>
        <w:t>4.2 Authentisierung und technische Mindeststandards</w:t>
      </w:r>
    </w:p>
    <w:p w14:paraId="09496D67" w14:textId="77777777" w:rsidR="006E3DD3" w:rsidRPr="005A1F7D" w:rsidRDefault="00000000" w:rsidP="00F065E1">
      <w:pPr>
        <w:pStyle w:val="Aufzhlungszeichen"/>
        <w:tabs>
          <w:tab w:val="clear" w:pos="360"/>
          <w:tab w:val="num" w:pos="720"/>
        </w:tabs>
        <w:ind w:left="720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Individuelle Benutzerkonten (keine Sammelaccounts) und starke Authentisierung (mindestens MFA) für alle Fernzugriffe.</w:t>
      </w:r>
    </w:p>
    <w:p w14:paraId="60F6C3AF" w14:textId="77777777" w:rsidR="006E3DD3" w:rsidRPr="005A1F7D" w:rsidRDefault="00000000" w:rsidP="00F065E1">
      <w:pPr>
        <w:pStyle w:val="Aufzhlungszeichen"/>
        <w:tabs>
          <w:tab w:val="clear" w:pos="360"/>
          <w:tab w:val="num" w:pos="720"/>
        </w:tabs>
        <w:ind w:left="720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Verschlüsselte Übertragung (mindestens TLS/SSH/VPN nach Stand der Technik).</w:t>
      </w:r>
    </w:p>
    <w:p w14:paraId="75BE0469" w14:textId="77777777" w:rsidR="006E3DD3" w:rsidRPr="005A1F7D" w:rsidRDefault="00000000" w:rsidP="00F065E1">
      <w:pPr>
        <w:pStyle w:val="Aufzhlungszeichen"/>
        <w:tabs>
          <w:tab w:val="clear" w:pos="360"/>
          <w:tab w:val="num" w:pos="720"/>
        </w:tabs>
        <w:ind w:left="720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Endgeräte des AN müssen angemessen abgesichert sein (aktueller Patch-Stand, Malware-Schutz, Festplattenverschlüsselung).</w:t>
      </w:r>
    </w:p>
    <w:p w14:paraId="15BC294E" w14:textId="77777777" w:rsidR="006E3DD3" w:rsidRPr="005A1F7D" w:rsidRDefault="00000000" w:rsidP="00F065E1">
      <w:pPr>
        <w:pStyle w:val="Aufzhlungszeichen"/>
        <w:tabs>
          <w:tab w:val="clear" w:pos="360"/>
          <w:tab w:val="num" w:pos="720"/>
        </w:tabs>
        <w:ind w:left="720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lastRenderedPageBreak/>
        <w:t>Keine dauerhaften Hintertüren: Dauerzugriffe (Always-on) sind nur zulässig, soweit für Monitoring/Alarmierung technisch erforderlich und vom AG freigegeben.</w:t>
      </w:r>
    </w:p>
    <w:p w14:paraId="6E89643C" w14:textId="77777777" w:rsidR="006E3DD3" w:rsidRPr="005A1F7D" w:rsidRDefault="00000000" w:rsidP="00F065E1">
      <w:pPr>
        <w:ind w:left="284"/>
        <w:jc w:val="both"/>
        <w:rPr>
          <w:rFonts w:ascii="Calibri Light" w:hAnsi="Calibri Light" w:cs="Calibri Light"/>
          <w:b/>
          <w:bCs/>
          <w:color w:val="1F497D" w:themeColor="text2"/>
          <w:lang w:val="de-DE"/>
        </w:rPr>
      </w:pPr>
      <w:r w:rsidRPr="005A1F7D">
        <w:rPr>
          <w:rFonts w:ascii="Calibri Light" w:hAnsi="Calibri Light" w:cs="Calibri Light"/>
          <w:b/>
          <w:bCs/>
          <w:color w:val="1F497D" w:themeColor="text2"/>
          <w:lang w:val="de-DE"/>
        </w:rPr>
        <w:t>4.3 Protokollierung</w:t>
      </w:r>
    </w:p>
    <w:p w14:paraId="27D735E7" w14:textId="77777777" w:rsidR="006E3DD3" w:rsidRPr="005A1F7D" w:rsidRDefault="00000000" w:rsidP="00F065E1">
      <w:pPr>
        <w:pStyle w:val="Aufzhlungszeichen"/>
        <w:tabs>
          <w:tab w:val="clear" w:pos="360"/>
          <w:tab w:val="num" w:pos="644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Der AN protokolliert jeden administrativen Fernzugriff (Benutzer, Zeitpunkt, betroffene Systeme, Ticket/Anlass).</w:t>
      </w:r>
    </w:p>
    <w:p w14:paraId="063BAC2C" w14:textId="77777777" w:rsidR="006E3DD3" w:rsidRPr="005A1F7D" w:rsidRDefault="00000000" w:rsidP="00F065E1">
      <w:pPr>
        <w:pStyle w:val="Aufzhlungszeichen"/>
        <w:tabs>
          <w:tab w:val="clear" w:pos="360"/>
          <w:tab w:val="num" w:pos="644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Protokolle sind dem AG auf Verlangen unverzüglich in elektronischer Form bereitzustellen.</w:t>
      </w:r>
    </w:p>
    <w:p w14:paraId="3A48D1E0" w14:textId="77777777" w:rsidR="006E3DD3" w:rsidRPr="005A1F7D" w:rsidRDefault="00000000" w:rsidP="00F065E1">
      <w:pPr>
        <w:pStyle w:val="Aufzhlungszeichen"/>
        <w:tabs>
          <w:tab w:val="clear" w:pos="360"/>
          <w:tab w:val="num" w:pos="644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Sicherheitsrelevante Ereignisse werden dem AG unverzüglich gemeldet.</w:t>
      </w:r>
    </w:p>
    <w:p w14:paraId="16A85991" w14:textId="77777777" w:rsidR="006E3DD3" w:rsidRPr="005A1F7D" w:rsidRDefault="00000000" w:rsidP="00EE1600">
      <w:pPr>
        <w:pStyle w:val="berschrift1"/>
        <w:jc w:val="both"/>
        <w:rPr>
          <w:rFonts w:ascii="Calibri Light" w:hAnsi="Calibri Light" w:cs="Calibri Light"/>
          <w:sz w:val="26"/>
          <w:szCs w:val="26"/>
          <w:lang w:val="de-DE"/>
        </w:rPr>
      </w:pPr>
      <w:r w:rsidRPr="005A1F7D">
        <w:rPr>
          <w:rFonts w:ascii="Calibri Light" w:hAnsi="Calibri Light" w:cs="Calibri Light"/>
          <w:sz w:val="26"/>
          <w:szCs w:val="26"/>
          <w:lang w:val="de-DE"/>
        </w:rPr>
        <w:t>5. Freigabe-, Kommunikations- und Änderungsprozess</w:t>
      </w:r>
    </w:p>
    <w:p w14:paraId="5380C553" w14:textId="77777777" w:rsidR="006E3DD3" w:rsidRPr="005A1F7D" w:rsidRDefault="00000000" w:rsidP="00F065E1">
      <w:pPr>
        <w:ind w:left="284"/>
        <w:jc w:val="both"/>
        <w:rPr>
          <w:rFonts w:ascii="Calibri Light" w:hAnsi="Calibri Light" w:cs="Calibri Light"/>
          <w:b/>
          <w:bCs/>
          <w:color w:val="1F497D" w:themeColor="text2"/>
          <w:lang w:val="de-DE"/>
        </w:rPr>
      </w:pPr>
      <w:r w:rsidRPr="005A1F7D">
        <w:rPr>
          <w:rFonts w:ascii="Calibri Light" w:hAnsi="Calibri Light" w:cs="Calibri Light"/>
          <w:b/>
          <w:bCs/>
          <w:color w:val="1F497D" w:themeColor="text2"/>
          <w:lang w:val="de-DE"/>
        </w:rPr>
        <w:t>5.1 Beauftragung / Ticket</w:t>
      </w:r>
    </w:p>
    <w:p w14:paraId="0E1EDD18" w14:textId="4069BF48" w:rsidR="006E3DD3" w:rsidRPr="005A1F7D" w:rsidRDefault="00000000" w:rsidP="00F065E1">
      <w:pPr>
        <w:pStyle w:val="Aufzhlungszeichen"/>
        <w:tabs>
          <w:tab w:val="clear" w:pos="360"/>
          <w:tab w:val="num" w:pos="72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Teleservice-Einsätze erfolgen grundsätzlich auf Basis einer Störungsmeldung</w:t>
      </w:r>
      <w:r w:rsidR="00C24778" w:rsidRPr="005A1F7D">
        <w:rPr>
          <w:rFonts w:cs="Calibri"/>
          <w:lang w:val="de-DE"/>
        </w:rPr>
        <w:t xml:space="preserve"> </w:t>
      </w:r>
      <w:r w:rsidRPr="005A1F7D">
        <w:rPr>
          <w:rFonts w:cs="Calibri"/>
          <w:lang w:val="de-DE"/>
        </w:rPr>
        <w:t>oder eines schriftlichen Auftrags (z.B. per E-Mail).</w:t>
      </w:r>
    </w:p>
    <w:p w14:paraId="51149053" w14:textId="77777777" w:rsidR="006E3DD3" w:rsidRPr="005A1F7D" w:rsidRDefault="00000000" w:rsidP="00F065E1">
      <w:pPr>
        <w:pStyle w:val="Aufzhlungszeichen"/>
        <w:tabs>
          <w:tab w:val="clear" w:pos="360"/>
          <w:tab w:val="num" w:pos="72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Für Resident-Management-Änderungen übermittelt der AG die Änderungsaufträge per E-Mail; die Umsetzung erfolgt am jeweiligen Ein-/Um-/Auszugstag, inklusive Vollzugsmeldung.</w:t>
      </w:r>
    </w:p>
    <w:p w14:paraId="1CF1993F" w14:textId="77777777" w:rsidR="006E3DD3" w:rsidRPr="005A1F7D" w:rsidRDefault="00000000" w:rsidP="00F065E1">
      <w:pPr>
        <w:ind w:left="284"/>
        <w:jc w:val="both"/>
        <w:rPr>
          <w:rFonts w:ascii="Calibri Light" w:hAnsi="Calibri Light" w:cs="Calibri Light"/>
          <w:b/>
          <w:bCs/>
          <w:color w:val="1F497D" w:themeColor="text2"/>
          <w:lang w:val="de-DE"/>
        </w:rPr>
      </w:pPr>
      <w:r w:rsidRPr="005A1F7D">
        <w:rPr>
          <w:rFonts w:ascii="Calibri Light" w:hAnsi="Calibri Light" w:cs="Calibri Light"/>
          <w:b/>
          <w:bCs/>
          <w:color w:val="1F497D" w:themeColor="text2"/>
          <w:lang w:val="de-DE"/>
        </w:rPr>
        <w:t>5.2 Change-Dokumentation</w:t>
      </w:r>
    </w:p>
    <w:p w14:paraId="7B90B83C" w14:textId="77777777" w:rsidR="006E3DD3" w:rsidRPr="005A1F7D" w:rsidRDefault="00000000" w:rsidP="00F065E1">
      <w:pPr>
        <w:pStyle w:val="Aufzhlungszeichen"/>
        <w:tabs>
          <w:tab w:val="clear" w:pos="360"/>
          <w:tab w:val="num" w:pos="72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Konfigurationsänderungen sind nachvollziehbar zu dokumentieren (Was wurde geändert? Warum? Wann? Durch wen?).</w:t>
      </w:r>
    </w:p>
    <w:p w14:paraId="79F8D865" w14:textId="77777777" w:rsidR="006E3DD3" w:rsidRPr="005A1F7D" w:rsidRDefault="00000000" w:rsidP="00F065E1">
      <w:pPr>
        <w:pStyle w:val="Aufzhlungszeichen"/>
        <w:tabs>
          <w:tab w:val="clear" w:pos="360"/>
          <w:tab w:val="num" w:pos="72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Die Systemdokumentation ist entsprechend zu aktualisieren.</w:t>
      </w:r>
    </w:p>
    <w:p w14:paraId="5A928B9B" w14:textId="77777777" w:rsidR="006E3DD3" w:rsidRPr="005A1F7D" w:rsidRDefault="00000000" w:rsidP="00EE1600">
      <w:pPr>
        <w:pStyle w:val="berschrift1"/>
        <w:jc w:val="both"/>
        <w:rPr>
          <w:rFonts w:ascii="Calibri Light" w:hAnsi="Calibri Light" w:cs="Calibri Light"/>
          <w:sz w:val="26"/>
          <w:szCs w:val="26"/>
          <w:lang w:val="de-DE"/>
        </w:rPr>
      </w:pPr>
      <w:r w:rsidRPr="005A1F7D">
        <w:rPr>
          <w:rFonts w:ascii="Calibri Light" w:hAnsi="Calibri Light" w:cs="Calibri Light"/>
          <w:sz w:val="26"/>
          <w:szCs w:val="26"/>
          <w:lang w:val="de-DE"/>
        </w:rPr>
        <w:t>6. Wartungsfenster und Servicezeiten</w:t>
      </w:r>
    </w:p>
    <w:p w14:paraId="4302AF52" w14:textId="4027B861" w:rsidR="006E3DD3" w:rsidRPr="005A1F7D" w:rsidRDefault="00000000" w:rsidP="00F065E1">
      <w:pPr>
        <w:ind w:left="28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 xml:space="preserve">Wartungen/Updates mit potenzieller Downtime werden in einem Wartungsfenster nach Absprache durchgeführt und mindestens 24 Stunden zuvor angekündigt. Im Übrigen gelten Servicezeiten, Reaktions- und Wiederherstellungszeiten gemäß </w:t>
      </w:r>
      <w:r w:rsidR="00DC1047" w:rsidRPr="005A1F7D">
        <w:rPr>
          <w:rFonts w:cs="Calibri"/>
          <w:lang w:val="de-DE"/>
        </w:rPr>
        <w:t>Hauptvertrag</w:t>
      </w:r>
      <w:r w:rsidRPr="005A1F7D">
        <w:rPr>
          <w:rFonts w:cs="Calibri"/>
          <w:lang w:val="de-DE"/>
        </w:rPr>
        <w:t xml:space="preserve"> und Leistungsbeschreibung/Leistungsverzeichnis.</w:t>
      </w:r>
    </w:p>
    <w:p w14:paraId="590CB9D9" w14:textId="77777777" w:rsidR="006E3DD3" w:rsidRPr="005A1F7D" w:rsidRDefault="00000000" w:rsidP="00EE1600">
      <w:pPr>
        <w:pStyle w:val="berschrift1"/>
        <w:jc w:val="both"/>
        <w:rPr>
          <w:rFonts w:ascii="Calibri Light" w:hAnsi="Calibri Light" w:cs="Calibri Light"/>
          <w:sz w:val="26"/>
          <w:szCs w:val="26"/>
          <w:lang w:val="de-DE"/>
        </w:rPr>
      </w:pPr>
      <w:r w:rsidRPr="005A1F7D">
        <w:rPr>
          <w:rFonts w:ascii="Calibri Light" w:hAnsi="Calibri Light" w:cs="Calibri Light"/>
          <w:sz w:val="26"/>
          <w:szCs w:val="26"/>
          <w:lang w:val="de-DE"/>
        </w:rPr>
        <w:t>7. Datenschutz und Vertraulichkeit</w:t>
      </w:r>
    </w:p>
    <w:p w14:paraId="5842AA99" w14:textId="77777777" w:rsidR="006E3DD3" w:rsidRPr="005A1F7D" w:rsidRDefault="00000000" w:rsidP="00906AD7">
      <w:pPr>
        <w:ind w:left="28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Soweit der AN im Rahmen des Teleservice personenbezogene Daten verarbeitet (z. B. Nutzerkennungen, IP-/MAC-Adressen, Nutzungszeiträume), erfolgt dies ausschließlich nach Maßgabe des abgeschlossenen Auftragsverarbeitungsvertrags (Art. 28 DSGVO) und der dort vereinbarten TOMs. Der AG erteilt mit dieser Vereinbarung die erforderliche Zustimmung, dass Remote-Zugriffe im Rahmen der Vertragserfüllung durchgeführt werden dürfen, einschließlich Remote-Erbringung von Leistungen, soweit dies nicht im Einzelfall schriftlich untersagt wird.</w:t>
      </w:r>
    </w:p>
    <w:p w14:paraId="10979796" w14:textId="77777777" w:rsidR="006E3DD3" w:rsidRPr="005A1F7D" w:rsidRDefault="00000000" w:rsidP="00906AD7">
      <w:pPr>
        <w:pStyle w:val="Aufzhlungszeichen"/>
        <w:tabs>
          <w:tab w:val="clear" w:pos="360"/>
          <w:tab w:val="num" w:pos="108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lastRenderedPageBreak/>
        <w:t>Der AN wahrt Vertraulichkeit und nutzt Informationen/Daten ausschließlich zur Vertragserfüllung.</w:t>
      </w:r>
    </w:p>
    <w:p w14:paraId="229F0D77" w14:textId="77777777" w:rsidR="006E3DD3" w:rsidRPr="005A1F7D" w:rsidRDefault="00000000" w:rsidP="00906AD7">
      <w:pPr>
        <w:pStyle w:val="Aufzhlungszeichen"/>
        <w:tabs>
          <w:tab w:val="clear" w:pos="360"/>
          <w:tab w:val="num" w:pos="108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Der AN setzt geeignete Maßnahmen zur Zugriffsbeschränkung und zur Trennung von Kunden-/Mandantenumgebungen um (soweit einschlägig).</w:t>
      </w:r>
    </w:p>
    <w:p w14:paraId="4AD45C01" w14:textId="77777777" w:rsidR="006E3DD3" w:rsidRPr="005A1F7D" w:rsidRDefault="00000000" w:rsidP="00906AD7">
      <w:pPr>
        <w:pStyle w:val="Aufzhlungszeichen"/>
        <w:tabs>
          <w:tab w:val="clear" w:pos="360"/>
          <w:tab w:val="num" w:pos="1080"/>
        </w:tabs>
        <w:ind w:left="64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Unterauftragnehmer dürfen nur nach den Regelungen des Auftragsverarbeitungsvertrags eingesetzt werden.</w:t>
      </w:r>
    </w:p>
    <w:p w14:paraId="4FDA8108" w14:textId="77777777" w:rsidR="006E3DD3" w:rsidRPr="005A1F7D" w:rsidRDefault="00000000" w:rsidP="00EE1600">
      <w:pPr>
        <w:pStyle w:val="berschrift1"/>
        <w:jc w:val="both"/>
        <w:rPr>
          <w:rFonts w:ascii="Calibri Light" w:hAnsi="Calibri Light" w:cs="Calibri Light"/>
          <w:sz w:val="26"/>
          <w:szCs w:val="26"/>
          <w:lang w:val="de-DE"/>
        </w:rPr>
      </w:pPr>
      <w:r w:rsidRPr="005A1F7D">
        <w:rPr>
          <w:rFonts w:ascii="Calibri Light" w:hAnsi="Calibri Light" w:cs="Calibri Light"/>
          <w:sz w:val="26"/>
          <w:szCs w:val="26"/>
          <w:lang w:val="de-DE"/>
        </w:rPr>
        <w:t>8. Sperrung des Zugriffs / Notfall</w:t>
      </w:r>
    </w:p>
    <w:p w14:paraId="0C94F49D" w14:textId="77777777" w:rsidR="006E3DD3" w:rsidRPr="005A1F7D" w:rsidRDefault="00000000" w:rsidP="00906AD7">
      <w:pPr>
        <w:ind w:left="28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Der AG kann Fernzugänge aus wichtigem Grund jederzeit sperren lassen (z. B. Sicherheitsvorfall, Verdacht auf Missbrauch). Der AN unterstützt den AG bei der Ursachenanalyse und stellt erforderliche Informationen/Logs zur Verfügung. Soweit zur Aufrechterhaltung des Betriebs erforderlich, erfolgt die Leistungserbringung vor Ort.</w:t>
      </w:r>
    </w:p>
    <w:p w14:paraId="4978E34E" w14:textId="77777777" w:rsidR="006E3DD3" w:rsidRPr="005A1F7D" w:rsidRDefault="00000000" w:rsidP="00EE1600">
      <w:pPr>
        <w:pStyle w:val="berschrift1"/>
        <w:jc w:val="both"/>
        <w:rPr>
          <w:rFonts w:ascii="Calibri Light" w:hAnsi="Calibri Light" w:cs="Calibri Light"/>
          <w:sz w:val="26"/>
          <w:szCs w:val="26"/>
          <w:lang w:val="de-DE"/>
        </w:rPr>
      </w:pPr>
      <w:r w:rsidRPr="005A1F7D">
        <w:rPr>
          <w:rFonts w:ascii="Calibri Light" w:hAnsi="Calibri Light" w:cs="Calibri Light"/>
          <w:sz w:val="26"/>
          <w:szCs w:val="26"/>
          <w:lang w:val="de-DE"/>
        </w:rPr>
        <w:t>9. Schlussbestimmungen</w:t>
      </w:r>
    </w:p>
    <w:p w14:paraId="3DB510FC" w14:textId="7F8576E2" w:rsidR="006E3DD3" w:rsidRPr="005A1F7D" w:rsidRDefault="00000000" w:rsidP="00906AD7">
      <w:pPr>
        <w:pStyle w:val="Aufzhlungszeichen"/>
        <w:numPr>
          <w:ilvl w:val="0"/>
          <w:numId w:val="0"/>
        </w:numPr>
        <w:ind w:left="28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D</w:t>
      </w:r>
      <w:r w:rsidR="00DC1047" w:rsidRPr="005A1F7D">
        <w:rPr>
          <w:rFonts w:cs="Calibri"/>
          <w:lang w:val="de-DE"/>
        </w:rPr>
        <w:t>ie Laufzeit d</w:t>
      </w:r>
      <w:r w:rsidRPr="005A1F7D">
        <w:rPr>
          <w:rFonts w:cs="Calibri"/>
          <w:lang w:val="de-DE"/>
        </w:rPr>
        <w:t>iese</w:t>
      </w:r>
      <w:r w:rsidR="00DC1047" w:rsidRPr="005A1F7D">
        <w:rPr>
          <w:rFonts w:cs="Calibri"/>
          <w:lang w:val="de-DE"/>
        </w:rPr>
        <w:t>r</w:t>
      </w:r>
      <w:r w:rsidRPr="005A1F7D">
        <w:rPr>
          <w:rFonts w:cs="Calibri"/>
          <w:lang w:val="de-DE"/>
        </w:rPr>
        <w:t xml:space="preserve"> Vereinbarung </w:t>
      </w:r>
      <w:r w:rsidR="00DC1047" w:rsidRPr="005A1F7D">
        <w:rPr>
          <w:rFonts w:cs="Calibri"/>
          <w:lang w:val="de-DE"/>
        </w:rPr>
        <w:t>entspricht der</w:t>
      </w:r>
      <w:r w:rsidRPr="005A1F7D">
        <w:rPr>
          <w:rFonts w:cs="Calibri"/>
          <w:lang w:val="de-DE"/>
        </w:rPr>
        <w:t xml:space="preserve"> Laufzeit </w:t>
      </w:r>
      <w:r w:rsidR="00DC1047" w:rsidRPr="005A1F7D">
        <w:rPr>
          <w:rFonts w:cs="Calibri"/>
          <w:lang w:val="de-DE"/>
        </w:rPr>
        <w:t>des Hauptvertrages</w:t>
      </w:r>
      <w:r w:rsidRPr="005A1F7D">
        <w:rPr>
          <w:rFonts w:cs="Calibri"/>
          <w:lang w:val="de-DE"/>
        </w:rPr>
        <w:t>.</w:t>
      </w:r>
      <w:r w:rsidR="00546021" w:rsidRPr="005A1F7D">
        <w:rPr>
          <w:rFonts w:cs="Calibri"/>
          <w:lang w:val="de-DE"/>
        </w:rPr>
        <w:t xml:space="preserve"> Das Recht zur außerordentlichen Kündigung aus wichtigem Grund bleibt unberührt.</w:t>
      </w:r>
    </w:p>
    <w:p w14:paraId="106CF924" w14:textId="77777777" w:rsidR="006E3DD3" w:rsidRPr="005A1F7D" w:rsidRDefault="00000000" w:rsidP="00906AD7">
      <w:pPr>
        <w:pStyle w:val="Aufzhlungszeichen"/>
        <w:numPr>
          <w:ilvl w:val="0"/>
          <w:numId w:val="0"/>
        </w:numPr>
        <w:ind w:left="284"/>
        <w:jc w:val="both"/>
        <w:rPr>
          <w:rFonts w:cs="Calibri"/>
          <w:lang w:val="de-DE"/>
        </w:rPr>
      </w:pPr>
      <w:r w:rsidRPr="005A1F7D">
        <w:rPr>
          <w:rFonts w:cs="Calibri"/>
          <w:lang w:val="de-DE"/>
        </w:rPr>
        <w:t>Änderungen/Ergänzungen bedürfen der Textform (z. B. E-Mail), sofern nicht gesetzlich strengere Form vorgeschrieben ist.</w:t>
      </w:r>
    </w:p>
    <w:p w14:paraId="15BF93CB" w14:textId="77777777" w:rsidR="0051493F" w:rsidRDefault="0051493F" w:rsidP="00EE1600">
      <w:pPr>
        <w:jc w:val="both"/>
        <w:rPr>
          <w:rFonts w:cs="Calibri"/>
          <w:lang w:val="de-DE"/>
        </w:rPr>
        <w:sectPr w:rsidR="0051493F" w:rsidSect="0051493F">
          <w:type w:val="continuous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3F9E8443" w14:textId="77777777" w:rsidR="006E3DD3" w:rsidRPr="005A1F7D" w:rsidRDefault="006E3DD3" w:rsidP="00EE1600">
      <w:pPr>
        <w:jc w:val="both"/>
        <w:rPr>
          <w:rFonts w:cs="Calibri"/>
          <w:lang w:val="de-DE"/>
        </w:rPr>
      </w:pPr>
    </w:p>
    <w:p w14:paraId="3F44E24B" w14:textId="02F059BB" w:rsidR="006E3DD3" w:rsidRPr="005A1F7D" w:rsidRDefault="006E3DD3" w:rsidP="00EE1600">
      <w:pPr>
        <w:jc w:val="both"/>
        <w:rPr>
          <w:rFonts w:cs="Calibr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FB69F2" w:rsidRPr="005A1F7D" w14:paraId="3691297C" w14:textId="77777777" w:rsidTr="00025404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63069549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</w:p>
        </w:tc>
        <w:bookmarkStart w:id="0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9A000B" w14:textId="77777777" w:rsidR="00FB69F2" w:rsidRPr="005A1F7D" w:rsidRDefault="00FB69F2" w:rsidP="00EE1600">
            <w:pPr>
              <w:ind w:left="-70"/>
              <w:jc w:val="both"/>
              <w:rPr>
                <w:rFonts w:cs="Calibri"/>
                <w:lang w:val="de-DE"/>
              </w:rPr>
            </w:pPr>
            <w:r w:rsidRPr="005A1F7D">
              <w:rPr>
                <w:rFonts w:cs="Calibri"/>
                <w:highlight w:val="yellow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A1F7D">
              <w:rPr>
                <w:rFonts w:cs="Calibri"/>
                <w:highlight w:val="yellow"/>
                <w:lang w:val="de-DE"/>
              </w:rPr>
              <w:instrText xml:space="preserve"> FORMTEXT </w:instrText>
            </w:r>
            <w:r w:rsidRPr="005A1F7D">
              <w:rPr>
                <w:rFonts w:cs="Calibri"/>
                <w:highlight w:val="yellow"/>
                <w:lang w:val="de-DE"/>
              </w:rPr>
            </w:r>
            <w:r w:rsidRPr="005A1F7D">
              <w:rPr>
                <w:rFonts w:cs="Calibri"/>
                <w:highlight w:val="yellow"/>
                <w:lang w:val="de-DE"/>
              </w:rPr>
              <w:fldChar w:fldCharType="separate"/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005666" w14:textId="77777777" w:rsidR="00FB69F2" w:rsidRPr="005A1F7D" w:rsidRDefault="00FB69F2" w:rsidP="00EE1600">
            <w:pPr>
              <w:ind w:left="-70"/>
              <w:jc w:val="both"/>
              <w:rPr>
                <w:rFonts w:cs="Calibri"/>
                <w:lang w:val="de-DE"/>
              </w:rPr>
            </w:pPr>
            <w:r w:rsidRPr="005A1F7D">
              <w:rPr>
                <w:rFonts w:cs="Calibri"/>
                <w:lang w:val="de-DE"/>
              </w:rPr>
              <w:t xml:space="preserve"> ,</w:t>
            </w:r>
          </w:p>
        </w:tc>
        <w:bookmarkStart w:id="1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8FF6DEF" w14:textId="77777777" w:rsidR="00FB69F2" w:rsidRPr="005A1F7D" w:rsidRDefault="00FB69F2" w:rsidP="00EE1600">
            <w:pPr>
              <w:ind w:left="-70"/>
              <w:jc w:val="both"/>
              <w:rPr>
                <w:rFonts w:cs="Calibri"/>
                <w:lang w:val="de-DE"/>
              </w:rPr>
            </w:pPr>
            <w:r w:rsidRPr="005A1F7D">
              <w:rPr>
                <w:rFonts w:cs="Calibri"/>
                <w:highlight w:val="yellow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5A1F7D">
              <w:rPr>
                <w:rFonts w:cs="Calibri"/>
                <w:highlight w:val="yellow"/>
                <w:lang w:val="de-DE"/>
              </w:rPr>
              <w:instrText xml:space="preserve"> FORMTEXT </w:instrText>
            </w:r>
            <w:r w:rsidRPr="005A1F7D">
              <w:rPr>
                <w:rFonts w:cs="Calibri"/>
                <w:highlight w:val="yellow"/>
                <w:lang w:val="de-DE"/>
              </w:rPr>
            </w:r>
            <w:r w:rsidRPr="005A1F7D">
              <w:rPr>
                <w:rFonts w:cs="Calibri"/>
                <w:highlight w:val="yellow"/>
                <w:lang w:val="de-DE"/>
              </w:rPr>
              <w:fldChar w:fldCharType="separate"/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fldChar w:fldCharType="end"/>
            </w:r>
            <w:bookmarkEnd w:id="1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A292C5C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</w:p>
        </w:tc>
        <w:bookmarkStart w:id="2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897AAA6" w14:textId="77777777" w:rsidR="00FB69F2" w:rsidRPr="005A1F7D" w:rsidRDefault="00FB69F2" w:rsidP="00EE1600">
            <w:pPr>
              <w:ind w:left="-70"/>
              <w:jc w:val="both"/>
              <w:rPr>
                <w:rFonts w:cs="Calibri"/>
                <w:lang w:val="de-DE"/>
              </w:rPr>
            </w:pPr>
            <w:r w:rsidRPr="005A1F7D">
              <w:rPr>
                <w:rFonts w:cs="Calibri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A1F7D">
              <w:rPr>
                <w:rFonts w:cs="Calibri"/>
                <w:lang w:val="de-DE"/>
              </w:rPr>
              <w:instrText xml:space="preserve"> FORMTEXT </w:instrText>
            </w:r>
            <w:r w:rsidRPr="005A1F7D">
              <w:rPr>
                <w:rFonts w:cs="Calibri"/>
                <w:lang w:val="de-DE"/>
              </w:rPr>
            </w:r>
            <w:r w:rsidRPr="005A1F7D">
              <w:rPr>
                <w:rFonts w:cs="Calibri"/>
                <w:lang w:val="de-DE"/>
              </w:rPr>
              <w:fldChar w:fldCharType="separate"/>
            </w:r>
            <w:r w:rsidRPr="005A1F7D">
              <w:rPr>
                <w:rFonts w:cs="Calibri"/>
                <w:lang w:val="de-DE"/>
              </w:rPr>
              <w:t> </w:t>
            </w:r>
            <w:r w:rsidRPr="005A1F7D">
              <w:rPr>
                <w:rFonts w:cs="Calibri"/>
                <w:lang w:val="de-DE"/>
              </w:rPr>
              <w:t> </w:t>
            </w:r>
            <w:r w:rsidRPr="005A1F7D">
              <w:rPr>
                <w:rFonts w:cs="Calibri"/>
                <w:lang w:val="de-DE"/>
              </w:rPr>
              <w:t> </w:t>
            </w:r>
            <w:r w:rsidRPr="005A1F7D">
              <w:rPr>
                <w:rFonts w:cs="Calibri"/>
                <w:lang w:val="de-DE"/>
              </w:rPr>
              <w:t> </w:t>
            </w:r>
            <w:r w:rsidRPr="005A1F7D">
              <w:rPr>
                <w:rFonts w:cs="Calibri"/>
                <w:lang w:val="de-DE"/>
              </w:rPr>
              <w:t> </w:t>
            </w:r>
            <w:r w:rsidRPr="005A1F7D">
              <w:rPr>
                <w:rFonts w:cs="Calibri"/>
                <w:lang w:val="de-DE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7A8B5B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  <w:r w:rsidRPr="005A1F7D">
              <w:rPr>
                <w:rFonts w:cs="Calibri"/>
                <w:lang w:val="de-DE"/>
              </w:rPr>
              <w:t xml:space="preserve"> ,</w:t>
            </w:r>
          </w:p>
        </w:tc>
        <w:bookmarkStart w:id="3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140EEDB" w14:textId="77777777" w:rsidR="00FB69F2" w:rsidRPr="005A1F7D" w:rsidRDefault="00FB69F2" w:rsidP="00EE1600">
            <w:pPr>
              <w:ind w:left="-71"/>
              <w:jc w:val="both"/>
              <w:rPr>
                <w:rFonts w:cs="Calibri"/>
                <w:lang w:val="de-DE"/>
              </w:rPr>
            </w:pPr>
            <w:r w:rsidRPr="005A1F7D">
              <w:rPr>
                <w:rFonts w:cs="Calibri"/>
                <w:lang w:val="de-DE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5A1F7D">
              <w:rPr>
                <w:rFonts w:cs="Calibri"/>
                <w:lang w:val="de-DE"/>
              </w:rPr>
              <w:instrText xml:space="preserve"> FORMTEXT </w:instrText>
            </w:r>
            <w:r w:rsidRPr="005A1F7D">
              <w:rPr>
                <w:rFonts w:cs="Calibri"/>
                <w:lang w:val="de-DE"/>
              </w:rPr>
            </w:r>
            <w:r w:rsidRPr="005A1F7D">
              <w:rPr>
                <w:rFonts w:cs="Calibri"/>
                <w:lang w:val="de-DE"/>
              </w:rPr>
              <w:fldChar w:fldCharType="separate"/>
            </w:r>
            <w:r w:rsidRPr="005A1F7D">
              <w:rPr>
                <w:rFonts w:cs="Calibri"/>
                <w:lang w:val="de-DE"/>
              </w:rPr>
              <w:t> </w:t>
            </w:r>
            <w:r w:rsidRPr="005A1F7D">
              <w:rPr>
                <w:rFonts w:cs="Calibri"/>
                <w:lang w:val="de-DE"/>
              </w:rPr>
              <w:t> </w:t>
            </w:r>
            <w:r w:rsidRPr="005A1F7D">
              <w:rPr>
                <w:rFonts w:cs="Calibri"/>
                <w:lang w:val="de-DE"/>
              </w:rPr>
              <w:t> </w:t>
            </w:r>
            <w:r w:rsidRPr="005A1F7D">
              <w:rPr>
                <w:rFonts w:cs="Calibri"/>
                <w:lang w:val="de-DE"/>
              </w:rPr>
              <w:t> </w:t>
            </w:r>
            <w:r w:rsidRPr="005A1F7D">
              <w:rPr>
                <w:rFonts w:cs="Calibri"/>
                <w:lang w:val="de-DE"/>
              </w:rPr>
              <w:t> </w:t>
            </w:r>
            <w:r w:rsidRPr="005A1F7D">
              <w:rPr>
                <w:rFonts w:cs="Calibri"/>
                <w:lang w:val="de-DE"/>
              </w:rPr>
              <w:fldChar w:fldCharType="end"/>
            </w:r>
            <w:bookmarkEnd w:id="3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63184EBA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</w:p>
        </w:tc>
      </w:tr>
      <w:tr w:rsidR="00FB69F2" w:rsidRPr="005A1F7D" w14:paraId="3A291D44" w14:textId="77777777" w:rsidTr="00025404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F153CF" w14:textId="77777777" w:rsidR="00FB69F2" w:rsidRPr="005A1F7D" w:rsidRDefault="00FB69F2" w:rsidP="00EE1600">
            <w:pPr>
              <w:tabs>
                <w:tab w:val="left" w:pos="5529"/>
                <w:tab w:val="left" w:pos="8080"/>
              </w:tabs>
              <w:ind w:left="2694" w:hanging="2552"/>
              <w:jc w:val="both"/>
              <w:rPr>
                <w:rFonts w:cs="Calibri"/>
                <w:lang w:val="de-DE"/>
              </w:rPr>
            </w:pPr>
            <w:r w:rsidRPr="005A1F7D">
              <w:rPr>
                <w:rFonts w:cs="Calibri"/>
                <w:lang w:val="de-DE"/>
              </w:rPr>
              <w:t>Ort</w:t>
            </w:r>
            <w:r w:rsidRPr="005A1F7D">
              <w:rPr>
                <w:rFonts w:cs="Calibri"/>
                <w:lang w:val="de-DE"/>
              </w:rPr>
              <w:tab/>
              <w:t>Datum</w:t>
            </w:r>
            <w:r w:rsidRPr="005A1F7D">
              <w:rPr>
                <w:rFonts w:cs="Calibri"/>
                <w:lang w:val="de-DE"/>
              </w:rPr>
              <w:tab/>
              <w:t>Ort</w:t>
            </w:r>
            <w:r w:rsidRPr="005A1F7D">
              <w:rPr>
                <w:rFonts w:cs="Calibri"/>
                <w:lang w:val="de-DE"/>
              </w:rPr>
              <w:tab/>
              <w:t>Datum</w:t>
            </w:r>
          </w:p>
        </w:tc>
      </w:tr>
      <w:tr w:rsidR="00FB69F2" w:rsidRPr="005A1F7D" w14:paraId="2D07C0A1" w14:textId="77777777" w:rsidTr="00025404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5654974A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063CC6B5" w14:textId="77777777" w:rsidR="00FB69F2" w:rsidRPr="005A1F7D" w:rsidRDefault="00FB69F2" w:rsidP="00EE1600">
            <w:pPr>
              <w:ind w:left="-70"/>
              <w:jc w:val="both"/>
              <w:rPr>
                <w:rFonts w:cs="Calibri"/>
                <w:lang w:val="de-DE"/>
              </w:rPr>
            </w:pPr>
            <w:r w:rsidRPr="005A1F7D">
              <w:rPr>
                <w:rFonts w:cs="Calibri"/>
                <w:lang w:val="de-DE"/>
              </w:rPr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9FB28B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</w:p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5D915F74" w14:textId="77777777" w:rsidR="00FB69F2" w:rsidRPr="005A1F7D" w:rsidRDefault="00FB69F2" w:rsidP="00EE1600">
            <w:pPr>
              <w:ind w:left="-70"/>
              <w:jc w:val="both"/>
              <w:rPr>
                <w:rFonts w:cs="Calibri"/>
                <w:lang w:val="de-DE"/>
              </w:rPr>
            </w:pPr>
            <w:r w:rsidRPr="005A1F7D">
              <w:rPr>
                <w:rFonts w:cs="Calibri"/>
                <w:lang w:val="de-DE"/>
              </w:rPr>
              <w:t>Auftraggeber</w:t>
            </w:r>
          </w:p>
        </w:tc>
      </w:tr>
      <w:tr w:rsidR="00FB69F2" w:rsidRPr="005A1F7D" w14:paraId="473AE88B" w14:textId="77777777" w:rsidTr="00025404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75B203" w14:textId="77777777" w:rsidR="00FB69F2" w:rsidRPr="005A1F7D" w:rsidRDefault="00FB69F2" w:rsidP="00EE1600">
            <w:pPr>
              <w:ind w:left="-70"/>
              <w:jc w:val="both"/>
              <w:rPr>
                <w:rFonts w:cs="Calibri"/>
                <w:lang w:val="de-DE"/>
              </w:rPr>
            </w:pPr>
          </w:p>
        </w:tc>
      </w:tr>
      <w:tr w:rsidR="00FB69F2" w:rsidRPr="005A1F7D" w14:paraId="2B4C7638" w14:textId="77777777" w:rsidTr="00025404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39F7F2F7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7830B8BB" w14:textId="77777777" w:rsidR="00FB69F2" w:rsidRPr="005A1F7D" w:rsidRDefault="00FB69F2" w:rsidP="00EE1600">
            <w:pPr>
              <w:ind w:left="-70"/>
              <w:jc w:val="both"/>
              <w:rPr>
                <w:rFonts w:cs="Calibri"/>
                <w:lang w:val="de-DE"/>
              </w:rPr>
            </w:pPr>
            <w:r w:rsidRPr="005A1F7D">
              <w:rPr>
                <w:rFonts w:cs="Calibri"/>
                <w:highlight w:val="yellow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A1F7D">
              <w:rPr>
                <w:rFonts w:cs="Calibri"/>
                <w:highlight w:val="yellow"/>
                <w:lang w:val="de-DE"/>
              </w:rPr>
              <w:instrText xml:space="preserve"> FORMTEXT </w:instrText>
            </w:r>
            <w:r w:rsidRPr="005A1F7D">
              <w:rPr>
                <w:rFonts w:cs="Calibri"/>
                <w:highlight w:val="yellow"/>
                <w:lang w:val="de-DE"/>
              </w:rPr>
            </w:r>
            <w:r w:rsidRPr="005A1F7D">
              <w:rPr>
                <w:rFonts w:cs="Calibri"/>
                <w:highlight w:val="yellow"/>
                <w:lang w:val="de-DE"/>
              </w:rPr>
              <w:fldChar w:fldCharType="separate"/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t> </w:t>
            </w:r>
            <w:r w:rsidRPr="005A1F7D">
              <w:rPr>
                <w:rFonts w:cs="Calibri"/>
                <w:highlight w:val="yellow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nil"/>
            </w:tcBorders>
          </w:tcPr>
          <w:p w14:paraId="002BD752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2CF02228" w14:textId="77777777" w:rsidR="00FB69F2" w:rsidRPr="005A1F7D" w:rsidRDefault="00FB69F2" w:rsidP="00EE1600">
            <w:pPr>
              <w:ind w:left="-70"/>
              <w:jc w:val="both"/>
              <w:rPr>
                <w:rFonts w:cs="Calibri"/>
                <w:lang w:val="de-DE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135B294F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</w:p>
        </w:tc>
      </w:tr>
      <w:tr w:rsidR="00FB69F2" w:rsidRPr="005A1F7D" w14:paraId="509E0229" w14:textId="77777777" w:rsidTr="00025404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2F6016DD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1459F1EE" w14:textId="77777777" w:rsidR="00FB69F2" w:rsidRPr="005A1F7D" w:rsidRDefault="00FB69F2" w:rsidP="00EE1600">
            <w:pPr>
              <w:ind w:left="-70"/>
              <w:jc w:val="both"/>
              <w:rPr>
                <w:rFonts w:cs="Calibri"/>
                <w:sz w:val="12"/>
                <w:lang w:val="de-DE"/>
              </w:rPr>
            </w:pPr>
            <w:r w:rsidRPr="005A1F7D">
              <w:rPr>
                <w:rFonts w:cs="Calibri"/>
                <w:lang w:val="de-DE"/>
              </w:rPr>
              <w:t xml:space="preserve">Unterschrift Auftragnehmer </w:t>
            </w:r>
            <w:r w:rsidRPr="005A1F7D">
              <w:rPr>
                <w:rFonts w:cs="Calibri"/>
                <w:sz w:val="14"/>
                <w:lang w:val="de-DE"/>
              </w:rPr>
              <w:t>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59A3028A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5DA5421F" w14:textId="77777777" w:rsidR="00FB69F2" w:rsidRPr="005A1F7D" w:rsidRDefault="00FB69F2" w:rsidP="00EE1600">
            <w:pPr>
              <w:ind w:left="-70"/>
              <w:jc w:val="both"/>
              <w:rPr>
                <w:rFonts w:cs="Calibri"/>
                <w:lang w:val="de-DE"/>
              </w:rPr>
            </w:pPr>
            <w:r w:rsidRPr="005A1F7D">
              <w:rPr>
                <w:rFonts w:cs="Calibri"/>
                <w:lang w:val="de-DE"/>
              </w:rPr>
              <w:t xml:space="preserve">Unterschrift Auftraggeber </w:t>
            </w:r>
            <w:r w:rsidRPr="005A1F7D">
              <w:rPr>
                <w:rFonts w:cs="Calibri"/>
                <w:sz w:val="12"/>
                <w:lang w:val="de-DE"/>
              </w:rPr>
              <w:t>(</w:t>
            </w:r>
            <w:r w:rsidRPr="005A1F7D">
              <w:rPr>
                <w:rFonts w:cs="Calibri"/>
                <w:sz w:val="14"/>
                <w:lang w:val="de-DE"/>
              </w:rPr>
              <w:t>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27E67EDF" w14:textId="77777777" w:rsidR="00FB69F2" w:rsidRPr="005A1F7D" w:rsidRDefault="00FB69F2" w:rsidP="00EE1600">
            <w:pPr>
              <w:jc w:val="both"/>
              <w:rPr>
                <w:rFonts w:cs="Calibri"/>
                <w:lang w:val="de-DE"/>
              </w:rPr>
            </w:pPr>
          </w:p>
        </w:tc>
      </w:tr>
    </w:tbl>
    <w:p w14:paraId="50AA3CEC" w14:textId="77777777" w:rsidR="006E3DD3" w:rsidRPr="005A1F7D" w:rsidRDefault="006E3DD3" w:rsidP="00EE1600">
      <w:pPr>
        <w:jc w:val="both"/>
        <w:rPr>
          <w:rFonts w:cs="Calibri"/>
          <w:lang w:val="de-DE"/>
        </w:rPr>
      </w:pPr>
    </w:p>
    <w:p w14:paraId="61B8B80F" w14:textId="77777777" w:rsidR="0003743D" w:rsidRPr="005A1F7D" w:rsidRDefault="0003743D" w:rsidP="00EE1600">
      <w:pPr>
        <w:jc w:val="both"/>
        <w:rPr>
          <w:rFonts w:cs="Calibri"/>
          <w:lang w:val="de-DE"/>
        </w:rPr>
      </w:pPr>
    </w:p>
    <w:sectPr w:rsidR="0003743D" w:rsidRPr="005A1F7D" w:rsidSect="0051493F">
      <w:type w:val="continuous"/>
      <w:pgSz w:w="12240" w:h="15840"/>
      <w:pgMar w:top="1440" w:right="1800" w:bottom="1440" w:left="180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9A8C" w14:textId="77777777" w:rsidR="00221A51" w:rsidRDefault="00221A51" w:rsidP="00DC1047">
      <w:pPr>
        <w:spacing w:after="0" w:line="240" w:lineRule="auto"/>
      </w:pPr>
      <w:r>
        <w:separator/>
      </w:r>
    </w:p>
  </w:endnote>
  <w:endnote w:type="continuationSeparator" w:id="0">
    <w:p w14:paraId="430CAEB1" w14:textId="77777777" w:rsidR="00221A51" w:rsidRDefault="00221A51" w:rsidP="00DC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871432"/>
      <w:docPartObj>
        <w:docPartGallery w:val="Page Numbers (Bottom of Page)"/>
        <w:docPartUnique/>
      </w:docPartObj>
    </w:sdtPr>
    <w:sdtContent>
      <w:p w14:paraId="47936DAA" w14:textId="0887B251" w:rsidR="008527FE" w:rsidRDefault="008527F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F522946" w14:textId="77777777" w:rsidR="00DC1047" w:rsidRDefault="00DC10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93C9" w14:textId="77777777" w:rsidR="00221A51" w:rsidRDefault="00221A51" w:rsidP="00DC1047">
      <w:pPr>
        <w:spacing w:after="0" w:line="240" w:lineRule="auto"/>
      </w:pPr>
      <w:r>
        <w:separator/>
      </w:r>
    </w:p>
  </w:footnote>
  <w:footnote w:type="continuationSeparator" w:id="0">
    <w:p w14:paraId="56A8CE33" w14:textId="77777777" w:rsidR="00221A51" w:rsidRDefault="00221A51" w:rsidP="00DC1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47E85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num w:numId="1" w16cid:durableId="1380282640">
    <w:abstractNumId w:val="8"/>
  </w:num>
  <w:num w:numId="2" w16cid:durableId="1618566510">
    <w:abstractNumId w:val="6"/>
  </w:num>
  <w:num w:numId="3" w16cid:durableId="1247155358">
    <w:abstractNumId w:val="5"/>
  </w:num>
  <w:num w:numId="4" w16cid:durableId="2010207637">
    <w:abstractNumId w:val="4"/>
  </w:num>
  <w:num w:numId="5" w16cid:durableId="866531013">
    <w:abstractNumId w:val="7"/>
  </w:num>
  <w:num w:numId="6" w16cid:durableId="1161195662">
    <w:abstractNumId w:val="3"/>
  </w:num>
  <w:num w:numId="7" w16cid:durableId="2125692085">
    <w:abstractNumId w:val="2"/>
  </w:num>
  <w:num w:numId="8" w16cid:durableId="169176296">
    <w:abstractNumId w:val="1"/>
  </w:num>
  <w:num w:numId="9" w16cid:durableId="42457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ocumentProtection w:edit="forms" w:enforcement="1" w:cryptProviderType="rsaAES" w:cryptAlgorithmClass="hash" w:cryptAlgorithmType="typeAny" w:cryptAlgorithmSid="14" w:cryptSpinCount="100000" w:hash="9mwAI1ZZAbW2WW0/5V56xyit4l/wMpdIRyMdMo8lAheNwG2J5FYClOJEUH/Zf6io9ATWUbrrJafFZPybWW/fpA==" w:salt="50OBR8NhAU1FRv5w9gWO8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43D"/>
    <w:rsid w:val="0006063C"/>
    <w:rsid w:val="000A3B74"/>
    <w:rsid w:val="001054AD"/>
    <w:rsid w:val="0015074B"/>
    <w:rsid w:val="00221A51"/>
    <w:rsid w:val="00255AC1"/>
    <w:rsid w:val="0029639D"/>
    <w:rsid w:val="002B563C"/>
    <w:rsid w:val="00326F90"/>
    <w:rsid w:val="003F5A41"/>
    <w:rsid w:val="00417158"/>
    <w:rsid w:val="004D4EDF"/>
    <w:rsid w:val="004E48DC"/>
    <w:rsid w:val="0051493F"/>
    <w:rsid w:val="00546021"/>
    <w:rsid w:val="0055658F"/>
    <w:rsid w:val="005A0E49"/>
    <w:rsid w:val="005A1F7D"/>
    <w:rsid w:val="006E3DD3"/>
    <w:rsid w:val="007228CE"/>
    <w:rsid w:val="007878F7"/>
    <w:rsid w:val="00797BDF"/>
    <w:rsid w:val="007B7272"/>
    <w:rsid w:val="008337B1"/>
    <w:rsid w:val="008527FE"/>
    <w:rsid w:val="008C77DA"/>
    <w:rsid w:val="00906AD7"/>
    <w:rsid w:val="00AA1D8D"/>
    <w:rsid w:val="00B47730"/>
    <w:rsid w:val="00BA1F08"/>
    <w:rsid w:val="00BF231E"/>
    <w:rsid w:val="00C24778"/>
    <w:rsid w:val="00CB0664"/>
    <w:rsid w:val="00D37C3C"/>
    <w:rsid w:val="00DC1047"/>
    <w:rsid w:val="00E71877"/>
    <w:rsid w:val="00E84EA5"/>
    <w:rsid w:val="00EE1600"/>
    <w:rsid w:val="00EF082A"/>
    <w:rsid w:val="00F065E1"/>
    <w:rsid w:val="00F346F8"/>
    <w:rsid w:val="00F5002E"/>
    <w:rsid w:val="00FB69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2DDA8"/>
  <w14:defaultImageDpi w14:val="330"/>
  <w15:docId w15:val="{199B72DF-0BBF-974E-A0E4-45852F3C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eastAsia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erarbeitung">
    <w:name w:val="Revision"/>
    <w:hidden/>
    <w:uiPriority w:val="99"/>
    <w:semiHidden/>
    <w:rsid w:val="00DC1047"/>
    <w:pPr>
      <w:spacing w:after="0" w:line="240" w:lineRule="auto"/>
    </w:pPr>
    <w:rPr>
      <w:rFonts w:ascii="Calibri" w:eastAsia="Calibri" w:hAnsi="Calibri"/>
    </w:rPr>
  </w:style>
  <w:style w:type="character" w:customStyle="1" w:styleId="Formularfeld">
    <w:name w:val="Formularfeld"/>
    <w:rsid w:val="00DC1047"/>
    <w:rPr>
      <w:rFonts w:ascii="Arial" w:hAnsi="Arial" w:cs="Times New Roman"/>
      <w:sz w:val="2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1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1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1047"/>
    <w:rPr>
      <w:rFonts w:ascii="Calibri" w:eastAsia="Calibri" w:hAnsi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1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1047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5899</Characters>
  <Application>Microsoft Office Word</Application>
  <DocSecurity>0</DocSecurity>
  <Lines>147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RAin Loni Goldbrunner - RAe Stolz Goldbrunner Klein</cp:lastModifiedBy>
  <cp:revision>21</cp:revision>
  <dcterms:created xsi:type="dcterms:W3CDTF">2013-12-23T23:15:00Z</dcterms:created>
  <dcterms:modified xsi:type="dcterms:W3CDTF">2026-03-17T11:06:00Z</dcterms:modified>
  <cp:category/>
</cp:coreProperties>
</file>