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C1F15" w14:textId="77777777" w:rsidR="00B342E9" w:rsidRDefault="00B342E9"/>
    <w:p w14:paraId="02713882" w14:textId="77777777" w:rsidR="00FB21D7" w:rsidRDefault="00FB21D7"/>
    <w:p w14:paraId="4C917877" w14:textId="51FFA626" w:rsidR="00BE0F56" w:rsidRDefault="00FB21D7" w:rsidP="00FB21D7">
      <w:pPr>
        <w:rPr>
          <w:b/>
          <w:u w:val="single"/>
        </w:rPr>
      </w:pPr>
      <w:r>
        <w:rPr>
          <w:b/>
          <w:u w:val="single"/>
        </w:rPr>
        <w:t>Vergabe-Nr.</w:t>
      </w:r>
      <w:r w:rsidR="00F53668">
        <w:rPr>
          <w:b/>
          <w:u w:val="single"/>
        </w:rPr>
        <w:t xml:space="preserve"> </w:t>
      </w:r>
      <w:r w:rsidR="00877034">
        <w:rPr>
          <w:b/>
          <w:u w:val="single"/>
        </w:rPr>
        <w:t xml:space="preserve"> </w:t>
      </w:r>
      <w:r w:rsidR="00DD6CA9">
        <w:rPr>
          <w:b/>
          <w:u w:val="single"/>
        </w:rPr>
        <w:t>136-26</w:t>
      </w:r>
    </w:p>
    <w:p w14:paraId="7F1FDF56" w14:textId="77777777" w:rsidR="00DD6CA9" w:rsidRPr="00DD6CA9" w:rsidRDefault="00FB21D7" w:rsidP="00FB21D7">
      <w:pPr>
        <w:rPr>
          <w:bCs/>
        </w:rPr>
      </w:pPr>
      <w:r>
        <w:rPr>
          <w:b/>
          <w:u w:val="single"/>
        </w:rPr>
        <w:t>Ausschreibung:</w:t>
      </w:r>
      <w:r w:rsidR="00F53668">
        <w:rPr>
          <w:b/>
          <w:u w:val="single"/>
        </w:rPr>
        <w:t xml:space="preserve"> </w:t>
      </w:r>
      <w:r w:rsidR="00DD6CA9" w:rsidRPr="00DD6CA9">
        <w:rPr>
          <w:bCs/>
        </w:rPr>
        <w:t>Planungsleistungen Verkehrsanlagen und Freianlagen für die barrierefreie Umgestaltung des Bahnhofsumfelds</w:t>
      </w:r>
    </w:p>
    <w:p w14:paraId="1093B3FB" w14:textId="200F6FB2" w:rsidR="00FB21D7" w:rsidRPr="00877034" w:rsidRDefault="00FB21D7" w:rsidP="00FB21D7">
      <w:pPr>
        <w:rPr>
          <w:b/>
          <w:color w:val="FF0000"/>
          <w:u w:val="single"/>
        </w:rPr>
      </w:pPr>
      <w:r w:rsidRPr="00877034">
        <w:rPr>
          <w:b/>
          <w:color w:val="FF0000"/>
          <w:u w:val="single"/>
        </w:rPr>
        <w:t>Datum:</w:t>
      </w:r>
      <w:r w:rsidR="00F53668" w:rsidRPr="00877034">
        <w:rPr>
          <w:b/>
          <w:color w:val="FF0000"/>
          <w:u w:val="single"/>
        </w:rPr>
        <w:t xml:space="preserve"> </w:t>
      </w:r>
      <w:r w:rsidR="005B16B8">
        <w:rPr>
          <w:b/>
          <w:color w:val="FF0000"/>
          <w:u w:val="single"/>
        </w:rPr>
        <w:t>0</w:t>
      </w:r>
      <w:r w:rsidR="00687C0E">
        <w:rPr>
          <w:b/>
          <w:color w:val="FF0000"/>
          <w:u w:val="single"/>
        </w:rPr>
        <w:t>6</w:t>
      </w:r>
      <w:r w:rsidR="00810DC1">
        <w:rPr>
          <w:b/>
          <w:color w:val="FF0000"/>
          <w:u w:val="single"/>
        </w:rPr>
        <w:t>.0</w:t>
      </w:r>
      <w:r w:rsidR="005B16B8">
        <w:rPr>
          <w:b/>
          <w:color w:val="FF0000"/>
          <w:u w:val="single"/>
        </w:rPr>
        <w:t>8</w:t>
      </w:r>
      <w:r w:rsidR="00810DC1">
        <w:rPr>
          <w:b/>
          <w:color w:val="FF0000"/>
          <w:u w:val="single"/>
        </w:rPr>
        <w:t>.2026</w:t>
      </w:r>
    </w:p>
    <w:p w14:paraId="0D6C6EE4" w14:textId="77777777" w:rsidR="00FB21D7" w:rsidRDefault="00FB21D7" w:rsidP="00FB21D7">
      <w:pPr>
        <w:jc w:val="center"/>
        <w:rPr>
          <w:b/>
          <w:sz w:val="28"/>
          <w:u w:val="single"/>
        </w:rPr>
      </w:pPr>
      <w:r>
        <w:rPr>
          <w:b/>
          <w:sz w:val="28"/>
          <w:u w:val="single"/>
        </w:rPr>
        <w:t>Bieteranfragen inkl. Antworten</w:t>
      </w:r>
    </w:p>
    <w:p w14:paraId="13E6D7FA" w14:textId="77777777" w:rsidR="00FB21D7" w:rsidRDefault="00FB21D7" w:rsidP="00FB21D7"/>
    <w:tbl>
      <w:tblPr>
        <w:tblStyle w:val="Tabellenraster"/>
        <w:tblW w:w="0" w:type="auto"/>
        <w:tblInd w:w="0" w:type="dxa"/>
        <w:tblLook w:val="04A0" w:firstRow="1" w:lastRow="0" w:firstColumn="1" w:lastColumn="0" w:noHBand="0" w:noVBand="1"/>
      </w:tblPr>
      <w:tblGrid>
        <w:gridCol w:w="4749"/>
        <w:gridCol w:w="4313"/>
      </w:tblGrid>
      <w:tr w:rsidR="00FB21D7" w14:paraId="5571AB0F" w14:textId="77777777" w:rsidTr="00ED03DE">
        <w:tc>
          <w:tcPr>
            <w:tcW w:w="4565" w:type="dxa"/>
            <w:tcBorders>
              <w:top w:val="single" w:sz="4" w:space="0" w:color="auto"/>
              <w:left w:val="single" w:sz="4" w:space="0" w:color="auto"/>
              <w:bottom w:val="single" w:sz="4" w:space="0" w:color="auto"/>
              <w:right w:val="single" w:sz="4" w:space="0" w:color="auto"/>
            </w:tcBorders>
            <w:hideMark/>
          </w:tcPr>
          <w:p w14:paraId="19F85FAC" w14:textId="77777777" w:rsidR="00FB21D7" w:rsidRDefault="00FB21D7">
            <w:r>
              <w:t>Bieteranfrage</w:t>
            </w:r>
            <w:r w:rsidR="00877034">
              <w:t xml:space="preserve"> 1</w:t>
            </w:r>
          </w:p>
        </w:tc>
        <w:tc>
          <w:tcPr>
            <w:tcW w:w="4497" w:type="dxa"/>
            <w:tcBorders>
              <w:top w:val="single" w:sz="4" w:space="0" w:color="auto"/>
              <w:left w:val="single" w:sz="4" w:space="0" w:color="auto"/>
              <w:bottom w:val="single" w:sz="4" w:space="0" w:color="auto"/>
              <w:right w:val="single" w:sz="4" w:space="0" w:color="auto"/>
            </w:tcBorders>
            <w:hideMark/>
          </w:tcPr>
          <w:p w14:paraId="687B18C2" w14:textId="77777777" w:rsidR="00FB21D7" w:rsidRDefault="00FB21D7">
            <w:r>
              <w:t>Antwort</w:t>
            </w:r>
            <w:r w:rsidR="00877034">
              <w:t xml:space="preserve"> 1</w:t>
            </w:r>
          </w:p>
        </w:tc>
      </w:tr>
      <w:tr w:rsidR="00FB21D7" w14:paraId="2D5BEB6F" w14:textId="77777777" w:rsidTr="00ED03DE">
        <w:tc>
          <w:tcPr>
            <w:tcW w:w="4565" w:type="dxa"/>
            <w:tcBorders>
              <w:top w:val="single" w:sz="4" w:space="0" w:color="auto"/>
              <w:left w:val="single" w:sz="4" w:space="0" w:color="auto"/>
              <w:bottom w:val="single" w:sz="4" w:space="0" w:color="auto"/>
              <w:right w:val="single" w:sz="4" w:space="0" w:color="auto"/>
            </w:tcBorders>
          </w:tcPr>
          <w:p w14:paraId="724ECAE7" w14:textId="77777777" w:rsidR="00DD6CA9" w:rsidRPr="00DD6CA9" w:rsidRDefault="00DD6CA9" w:rsidP="00DD6CA9">
            <w:r w:rsidRPr="00DD6CA9">
              <w:t>Sehr geehrte Damen und Herren</w:t>
            </w:r>
          </w:p>
          <w:p w14:paraId="53CAF5A1" w14:textId="77777777" w:rsidR="00DD6CA9" w:rsidRPr="00DD6CA9" w:rsidRDefault="00DD6CA9" w:rsidP="00DD6CA9">
            <w:r w:rsidRPr="00DD6CA9">
              <w:t>In den Honorarangebotsblättern ist unter "LV Honorarabfrage Verkehrsanlagen und Freianlagen Busbahnhof" die Honorarzone für Freianlagen mit II vorgegeben.</w:t>
            </w:r>
          </w:p>
          <w:p w14:paraId="2C3E091E" w14:textId="77777777" w:rsidR="00DD6CA9" w:rsidRPr="00DD6CA9" w:rsidRDefault="00DD6CA9" w:rsidP="00DD6CA9">
            <w:r w:rsidRPr="00DD6CA9">
              <w:t xml:space="preserve">Die Honorarzone II bildet unserer Ansicht nach nicht korrekt die Komplexität der Anforderungen an die Freianlagen ab. Bei der vorliegenden Aufgabe handelt es sich u.E. um eine Planungsaufgabe mit überdurchschnittlichen Anforderungen, die Sie richtigerweise in der Aufgabenbeschreibung auch so benennen: </w:t>
            </w:r>
          </w:p>
          <w:p w14:paraId="62F07F64" w14:textId="77777777" w:rsidR="00DD6CA9" w:rsidRPr="00DD6CA9" w:rsidRDefault="00DD6CA9" w:rsidP="00DD6CA9">
            <w:r w:rsidRPr="00DD6CA9">
              <w:t>- Planung der Wartebereiche und Aufenthaltsflächen für Fahrgäste, einschließlich Ausstattung</w:t>
            </w:r>
            <w:r w:rsidRPr="00DD6CA9">
              <w:br/>
              <w:t>(Sitzmöbel, Beleuchtung, Fahrradabstellanlagen, Mülleimer, Beschilderung)</w:t>
            </w:r>
            <w:r w:rsidRPr="00DD6CA9">
              <w:br/>
              <w:t>- Barrierefreiheit,Materialität und gestalterischer Qualität</w:t>
            </w:r>
            <w:r w:rsidRPr="00DD6CA9">
              <w:br/>
              <w:t>- Aufwertung des Stadteingangs</w:t>
            </w:r>
            <w:r w:rsidRPr="00DD6CA9">
              <w:br/>
              <w:t xml:space="preserve">- Klimaanpassung </w:t>
            </w:r>
            <w:r w:rsidRPr="00DD6CA9">
              <w:br/>
              <w:t xml:space="preserve">- Planung von Versickerungsflächen und dezentralen Entwässerungsmaßnahmen </w:t>
            </w:r>
            <w:r w:rsidRPr="00DD6CA9">
              <w:br/>
              <w:t>- Planung eines repräsentativen und identitätsstiftenden Ortes</w:t>
            </w:r>
          </w:p>
          <w:p w14:paraId="3F5401B6" w14:textId="77777777" w:rsidR="00DD6CA9" w:rsidRPr="00DD6CA9" w:rsidRDefault="00DD6CA9" w:rsidP="00DD6CA9">
            <w:r w:rsidRPr="00DD6CA9">
              <w:t>Die Anlage 11 (zu § 39 Absatz 4, § 40 Absatz 5) der HOAI ordnet in der Objektliste "Freiflächen in Stad- und Ortslagen" mit besonderer Ausstattung eindeutig der Honorarzone IV zu.</w:t>
            </w:r>
            <w:r w:rsidRPr="00DD6CA9">
              <w:br/>
              <w:t>"Die Planung der Freianlagen für den ZOB/Bahnhofsbereich weist überdurchschnittliche Anforderungen auf, die eine Einordnung in die Honorarzone IV nach HOAI § 39 (Anlage 11) rechtfertigen. Dies begründet sich durch:</w:t>
            </w:r>
            <w:r w:rsidRPr="00DD6CA9">
              <w:br/>
              <w:t xml:space="preserve">- Hohe gestalterische Anforderungen (repräsentativer Stadteingang, identitätsstiftende </w:t>
            </w:r>
            <w:r w:rsidRPr="00DD6CA9">
              <w:lastRenderedPageBreak/>
              <w:t>Wirkung)</w:t>
            </w:r>
            <w:r w:rsidRPr="00DD6CA9">
              <w:br/>
              <w:t>- Komplexe technische und ökologische Anforderungen (Barrierefreiheit, Klimaanpassung, Entwässerung)</w:t>
            </w:r>
            <w:r w:rsidRPr="00DD6CA9">
              <w:br/>
              <w:t>- Erheblichen Koordinationsaufwand (Schnittstellen zu Verkehrsanlagen und Ingenieurbauwerken)</w:t>
            </w:r>
            <w:r w:rsidRPr="00DD6CA9">
              <w:br/>
              <w:t>- Besondere Nutzungsanforderungen (Aufenthaltsqualität, Ausstattung, Multifunktionalität)</w:t>
            </w:r>
          </w:p>
          <w:p w14:paraId="14D2698E" w14:textId="77777777" w:rsidR="00DD6CA9" w:rsidRDefault="00DD6CA9" w:rsidP="00DD6CA9">
            <w:r w:rsidRPr="00DD6CA9">
              <w:t xml:space="preserve">Die Planung der Toilettenanlage ist nicht im Leistungsbild Freianlagen zu verorten und bitte gesondert auszuschreiben. </w:t>
            </w:r>
          </w:p>
          <w:p w14:paraId="45B426DC" w14:textId="77777777" w:rsidR="00F34296" w:rsidRPr="00DD6CA9" w:rsidRDefault="00F34296" w:rsidP="00DD6CA9"/>
          <w:p w14:paraId="6728162B" w14:textId="77777777" w:rsidR="00DD6CA9" w:rsidRPr="00DD6CA9" w:rsidRDefault="00DD6CA9" w:rsidP="00DD6CA9">
            <w:r w:rsidRPr="00DD6CA9">
              <w:t>Wir bitten um eine Anpassung der Honorarzone und um eine angemessene Verlängerung der Angebotsfrist.</w:t>
            </w:r>
          </w:p>
          <w:p w14:paraId="04BC3D76" w14:textId="77777777" w:rsidR="00F53668" w:rsidRDefault="00F53668" w:rsidP="00DD6CA9"/>
        </w:tc>
        <w:tc>
          <w:tcPr>
            <w:tcW w:w="4497" w:type="dxa"/>
            <w:tcBorders>
              <w:top w:val="single" w:sz="4" w:space="0" w:color="auto"/>
              <w:left w:val="single" w:sz="4" w:space="0" w:color="auto"/>
              <w:bottom w:val="single" w:sz="4" w:space="0" w:color="auto"/>
              <w:right w:val="single" w:sz="4" w:space="0" w:color="auto"/>
            </w:tcBorders>
          </w:tcPr>
          <w:p w14:paraId="1D9935ED" w14:textId="77777777" w:rsidR="00DD6CA9" w:rsidRPr="00DD6CA9" w:rsidRDefault="00DD6CA9" w:rsidP="00DD6CA9">
            <w:r w:rsidRPr="00DD6CA9">
              <w:lastRenderedPageBreak/>
              <w:t>Die Vergabestelle hat die Anregung zur Einstufung der Freianlagenplanung in eine höhere Honorarzone geprüft.</w:t>
            </w:r>
          </w:p>
          <w:p w14:paraId="19B686E3" w14:textId="77777777" w:rsidR="00DD6CA9" w:rsidRPr="00DD6CA9" w:rsidRDefault="00DD6CA9" w:rsidP="00DD6CA9"/>
          <w:p w14:paraId="0A617860" w14:textId="77777777" w:rsidR="00DD6CA9" w:rsidRPr="00DD6CA9" w:rsidRDefault="00DD6CA9" w:rsidP="00DD6CA9">
            <w:r w:rsidRPr="00DD6CA9">
              <w:t>Nach Auffassung der Vergabestelle besteht keine Veranlassung, die in den Vergabeunterlagen zugrunde gelegte Honorarzone II zu ändern.</w:t>
            </w:r>
          </w:p>
          <w:p w14:paraId="5853C068" w14:textId="77777777" w:rsidR="00DD6CA9" w:rsidRPr="00DD6CA9" w:rsidRDefault="00DD6CA9" w:rsidP="00DD6CA9"/>
          <w:p w14:paraId="20094534" w14:textId="77777777" w:rsidR="00DD6CA9" w:rsidRPr="00DD6CA9" w:rsidRDefault="00DD6CA9" w:rsidP="00DD6CA9">
            <w:r w:rsidRPr="00DD6CA9">
              <w:t>Bei der ausgeschriebenen Gesamtmaßnahme handelt es sich im Wesentlichen um die Planung eines Busbahnhofs, deren planerischer Schwerpunkt in der Verkehrsanlagenplanung liegt. Die Leistungen der Freianlagenplanung beziehen sich überwiegend auf die verbleibenden Freiflächen und ergänzen die Gesamtplanung. Vor diesem Hintergrund hält die Vergabestelle die gewählte Einstufung für sachgerecht.</w:t>
            </w:r>
          </w:p>
          <w:p w14:paraId="1EB09331" w14:textId="77777777" w:rsidR="00DD6CA9" w:rsidRPr="00DD6CA9" w:rsidRDefault="00DD6CA9" w:rsidP="00DD6CA9"/>
          <w:p w14:paraId="770B7439" w14:textId="77777777" w:rsidR="00DD6CA9" w:rsidRPr="00DD6CA9" w:rsidRDefault="00DD6CA9" w:rsidP="00DD6CA9">
            <w:r w:rsidRPr="00DD6CA9">
              <w:t xml:space="preserve">Unabhängig davon weist die Vergabestelle darauf hin, dass die Honorarregelungen der HOAI seit der Novellierung im Jahr 2021 keine verbindlichen Mindest- oder Höchstsätze mehr vorgeben. Die HOAI dient im vorliegenden Vergabeverfahren als Grundlage für die Ermittlung einer Vergleichsvergütung. Den Bietern steht es frei, auf die ermittelte Honorarsumme prozentuale Zu- oder Abschläge anzubieten. Dies ist in den von der Vergabestelle vorgegebenen Formularen bereits so vorgesehen. Hierdurch kann jedes Büro unter Berücksichtigung seiner individuellen </w:t>
            </w:r>
            <w:r w:rsidRPr="00DD6CA9">
              <w:lastRenderedPageBreak/>
              <w:t>Kostenstruktur ein auskömmliches und wirtschaftliches Angebot kalkulieren.</w:t>
            </w:r>
          </w:p>
          <w:p w14:paraId="0D769C1B" w14:textId="77777777" w:rsidR="00DD6CA9" w:rsidRPr="00DD6CA9" w:rsidRDefault="00DD6CA9" w:rsidP="00DD6CA9"/>
          <w:p w14:paraId="1A4F72C8" w14:textId="77777777" w:rsidR="00DD6CA9" w:rsidRPr="00DD6CA9" w:rsidRDefault="00DD6CA9" w:rsidP="00DD6CA9">
            <w:r w:rsidRPr="00DD6CA9">
              <w:t>Die Vergabestelle hat zudem festgestellt, dass bei vergleichbaren Verfahren in der jüngeren Vergangenheit regelmäßig erhebliche Abschläge auf die nach HOAI ermittelte Vergleichsvergütung angeboten wurden. Dies bestätigt, dass die gewählte Vergütungssystematik den Bietern ausreichend Spielraum für eine eigenständige und wirtschaftliche Angebotskalkulation eröffnet.</w:t>
            </w:r>
          </w:p>
          <w:p w14:paraId="74F31442" w14:textId="77777777" w:rsidR="00DD6CA9" w:rsidRDefault="00DD6CA9" w:rsidP="00DD6CA9"/>
          <w:p w14:paraId="7DDC55C5" w14:textId="77777777" w:rsidR="00DD6CA9" w:rsidRPr="00DD6CA9" w:rsidRDefault="00DD6CA9" w:rsidP="00DD6CA9">
            <w:r w:rsidRPr="00DD6CA9">
              <w:t xml:space="preserve">Der Hinweis, dass eine Toilettenanlage kein Teil der Freianlagenplanung ist, wird zur Kenntnis genommen. Die Ausschreibung von Planungsleistungen für die Toilettenanlage ist aber in diesem Fall nicht erforderlich, da bei der hier vorgesehenen </w:t>
            </w:r>
            <w:r w:rsidRPr="00DD6CA9">
              <w:rPr>
                <w:b/>
                <w:bCs/>
              </w:rPr>
              <w:t>schlüsselfertigen, modularen Toilettenanlage</w:t>
            </w:r>
            <w:r w:rsidRPr="00DD6CA9">
              <w:t xml:space="preserve"> die wesentlichen Planungsleistungen vom Hersteller übernommen werden.</w:t>
            </w:r>
          </w:p>
          <w:p w14:paraId="728BF9BE" w14:textId="77777777" w:rsidR="00DD6CA9" w:rsidRPr="00DD6CA9" w:rsidRDefault="00DD6CA9" w:rsidP="00DD6CA9"/>
          <w:p w14:paraId="2C5D0B42" w14:textId="77777777" w:rsidR="00DD6CA9" w:rsidRPr="00DD6CA9" w:rsidRDefault="00DD6CA9" w:rsidP="00DD6CA9">
            <w:r w:rsidRPr="00DD6CA9">
              <w:t>Vor diesem Hintergrund sieht die Vergabestelle weder die Notwendigkeit einer Änderung der ausgeschriebenen Honorarzone noch einen Anlass, die Angebotsfrist zu verlängern. Die Vergabeunterlagen bleiben daher unverändert; die Angebotsfrist wird nicht angepasst.</w:t>
            </w:r>
          </w:p>
          <w:p w14:paraId="448E97A2" w14:textId="1C3C337C" w:rsidR="00810DC1" w:rsidRDefault="00810DC1" w:rsidP="00DD6CA9"/>
        </w:tc>
      </w:tr>
      <w:tr w:rsidR="00D47C93" w14:paraId="7356B35B" w14:textId="77777777" w:rsidTr="00ED03DE">
        <w:tc>
          <w:tcPr>
            <w:tcW w:w="4565" w:type="dxa"/>
            <w:hideMark/>
          </w:tcPr>
          <w:p w14:paraId="1DF95C26" w14:textId="0E8AB9F3" w:rsidR="00D47C93" w:rsidRDefault="00D47C93" w:rsidP="001C45A9">
            <w:r>
              <w:lastRenderedPageBreak/>
              <w:t>Rüge 1</w:t>
            </w:r>
          </w:p>
        </w:tc>
        <w:tc>
          <w:tcPr>
            <w:tcW w:w="4497" w:type="dxa"/>
            <w:hideMark/>
          </w:tcPr>
          <w:p w14:paraId="0250DDB9" w14:textId="1A8DA112" w:rsidR="00D47C93" w:rsidRDefault="00D47C93" w:rsidP="001C45A9">
            <w:r>
              <w:t>Antwort bzgl. Rüge 1</w:t>
            </w:r>
          </w:p>
        </w:tc>
      </w:tr>
      <w:tr w:rsidR="00D47C93" w14:paraId="19916A84" w14:textId="77777777" w:rsidTr="00ED03DE">
        <w:tc>
          <w:tcPr>
            <w:tcW w:w="4565" w:type="dxa"/>
          </w:tcPr>
          <w:p w14:paraId="158361C3" w14:textId="77777777" w:rsidR="00D47C93" w:rsidRPr="00D47C93" w:rsidRDefault="00D47C93" w:rsidP="00D47C93">
            <w:r w:rsidRPr="00D47C93">
              <w:t>Sehr geehrte Damen und Herren,</w:t>
            </w:r>
            <w:r w:rsidRPr="00D47C93">
              <w:br/>
              <w:t>für die Planung der Freianlagen geben Sie die Einstufung in die Honorarzone 2 vor.</w:t>
            </w:r>
            <w:r w:rsidRPr="00D47C93">
              <w:br/>
              <w:t xml:space="preserve">Anlage 11 zu § 39 Absatz 4, § 40 Absatz 5 HOAI gibt Beispielobjekte an, die diese Einstufung rechtfertigen; dort finden sich etwa "Pflanzungen in der freien Landschaft oder Windschutzpflanzungen, mit sehr geringen oder geringen Anforderungen", nicht jedoch Bahnhofsvorplätze. </w:t>
            </w:r>
          </w:p>
          <w:p w14:paraId="6C4A202C" w14:textId="77777777" w:rsidR="00D47C93" w:rsidRPr="00D47C93" w:rsidRDefault="00D47C93" w:rsidP="00D47C93">
            <w:r w:rsidRPr="00D47C93">
              <w:t>Allerdings erwähnt ebendiese Anlage 11 in der Objektliste "Freiflächen in Stadt - und Ortslagen" mit besonderer Ausstattung eindeutig der Honorarzone IV zu.</w:t>
            </w:r>
            <w:r w:rsidRPr="00D47C93">
              <w:br/>
              <w:t>Wie Sie auch in ihrer Projektbeschreibung darlegen, stützen verschiedene Formulierungen diese Einordnung, u.a.:</w:t>
            </w:r>
            <w:r w:rsidRPr="00D47C93">
              <w:br/>
              <w:t xml:space="preserve">1. Hohe gestalterische Anforderungen </w:t>
            </w:r>
            <w:r w:rsidRPr="00D47C93">
              <w:lastRenderedPageBreak/>
              <w:t>(repräsentativer Stadteingang, identitätsstiftende Wirkung)</w:t>
            </w:r>
            <w:r w:rsidRPr="00D47C93">
              <w:br/>
              <w:t>2. Komplexe technische und ökologische Anforderungen (Barrierefreiheit, Klimaanpassung, Entwässerung)</w:t>
            </w:r>
            <w:r w:rsidRPr="00D47C93">
              <w:br/>
              <w:t>3. Erheblichen Koordinationsaufwand (Schnittstellen zu Verkehrsanlagen und Ingenieurbauwerken)</w:t>
            </w:r>
            <w:r w:rsidRPr="00D47C93">
              <w:br/>
              <w:t>4. Besondere Nutzungsanforderungen (Aufenthaltsqualität, Ausstattung, Multifunktionalität)</w:t>
            </w:r>
          </w:p>
          <w:p w14:paraId="72C129DF" w14:textId="77777777" w:rsidR="00D47C93" w:rsidRPr="00D47C93" w:rsidRDefault="00D47C93" w:rsidP="00D47C93">
            <w:r w:rsidRPr="00D47C93">
              <w:t>Die HOAI hat in Bezug auf die Einordnung in Honorazonen nach wie vor Gesetzeskraft und eine falsche Zuordnung stellt einen klaren Rechtsverstoß dar.</w:t>
            </w:r>
          </w:p>
          <w:p w14:paraId="777053CF" w14:textId="77777777" w:rsidR="00D47C93" w:rsidRPr="00D47C93" w:rsidRDefault="00D47C93" w:rsidP="00D47C93">
            <w:r w:rsidRPr="00D47C93">
              <w:t>Sie unterschreiten das eigentlich anzusetzende Honorar mit dieser Vorgabe um ca. 30 %, erzeugen somit aus ihrem eigenen Handeln die Pflicht zu einer Auskömmlichkeitsprüfung der Angebote, da das angebotene Honorar mehr als 20 % vom offensichtlichen Auftragsvolumen abweicht. Zudem wird der Preis mit völlig unüblichen 40 % in der Bewertungsmatrix gewichtet. Ihnen geht es also um "billig" und nicht um eine qualitätvolle Planung.</w:t>
            </w:r>
          </w:p>
          <w:p w14:paraId="2B4C1985" w14:textId="77777777" w:rsidR="00D47C93" w:rsidRPr="00D47C93" w:rsidRDefault="00D47C93" w:rsidP="00D47C93">
            <w:r w:rsidRPr="00D47C93">
              <w:t>Gleichzeitig wird Tariftreue gefordert. Fazit: Die Ausschreibung treibt die Bieter in den Ruin. Der Auftrag kann nicht auskömmlich bearbeitet werden und befördert Schlechtleistungen.</w:t>
            </w:r>
          </w:p>
          <w:p w14:paraId="217BDDC2" w14:textId="77777777" w:rsidR="00D47C93" w:rsidRPr="00D47C93" w:rsidRDefault="00D47C93" w:rsidP="00D47C93">
            <w:r w:rsidRPr="00D47C93">
              <w:t>Da Öffentliche Auftraggeber gern derartigen Rügen nicht stattgeben, wende ich mich parallel an die Kommunalaufsichten beim Kreis Soest und der Bezirksregierung Arnsberg sowie an die Rechtsabteilung der Architektenkammer NRW. Die Vergabekammer Westfalen setze ich ebenfalls vorsorglich in Kenntnis.</w:t>
            </w:r>
          </w:p>
          <w:p w14:paraId="27F7182C" w14:textId="77777777" w:rsidR="00D47C93" w:rsidRPr="00D47C93" w:rsidRDefault="00D47C93" w:rsidP="00D47C93">
            <w:r w:rsidRPr="00D47C93">
              <w:t>Ich bitte um Aufhebung des Verfahrens, Änderung der Wertungsmatrix und Einstufung in die Honorarzone IV und setze eine Frist von 10 Werktagen.</w:t>
            </w:r>
          </w:p>
          <w:p w14:paraId="4D670868" w14:textId="77777777" w:rsidR="00D47C93" w:rsidRPr="00D47C93" w:rsidRDefault="00D47C93" w:rsidP="00D47C93">
            <w:r w:rsidRPr="00D47C93">
              <w:t>Mit freundlichen Grüßen</w:t>
            </w:r>
          </w:p>
          <w:p w14:paraId="225B2B0B" w14:textId="77777777" w:rsidR="00D47C93" w:rsidRDefault="00D47C93" w:rsidP="00D47C93"/>
        </w:tc>
        <w:tc>
          <w:tcPr>
            <w:tcW w:w="4497" w:type="dxa"/>
          </w:tcPr>
          <w:p w14:paraId="33C5B7B0" w14:textId="77777777" w:rsidR="00D47C93" w:rsidRDefault="00ED03DE" w:rsidP="001C45A9">
            <w:r>
              <w:lastRenderedPageBreak/>
              <w:t>Zur prozentualen Gewichtung:</w:t>
            </w:r>
          </w:p>
          <w:p w14:paraId="6FA8A573" w14:textId="77777777" w:rsidR="00ED03DE" w:rsidRDefault="00ED03DE" w:rsidP="001C45A9"/>
          <w:p w14:paraId="33E0190D" w14:textId="69C4515F" w:rsidR="00ED03DE" w:rsidRDefault="00ED03DE" w:rsidP="00ED03DE">
            <w:r>
              <w:t>Zunächst ist der</w:t>
            </w:r>
            <w:r w:rsidRPr="00502C53">
              <w:t xml:space="preserve"> öffentliche Auftraggeber in der Auftragsbekanntmachung oder Vergabeunterlagen </w:t>
            </w:r>
            <w:r>
              <w:t xml:space="preserve">verpflichtet </w:t>
            </w:r>
            <w:r w:rsidRPr="00502C53">
              <w:t>alle Zuschlagskriterien anzugeben, die er anzuwenden gedenkt.</w:t>
            </w:r>
            <w:r>
              <w:t xml:space="preserve"> Dies ist vorliegend erfolgt. </w:t>
            </w:r>
          </w:p>
          <w:p w14:paraId="372DCD55" w14:textId="77777777" w:rsidR="00ED03DE" w:rsidRDefault="00ED03DE" w:rsidP="00ED03DE">
            <w:r>
              <w:t xml:space="preserve">Dem öffentlichen Auftraggeber steht bei der Festlegung der Gewichtung der Kriterien ein Handlungsspielraum zur Verfügung, der nur durch die vergaberechtlichen Grundsätze beschränkt ist. Insbesondere ist darauf zu achten, dass die Gewichtung eine Gesamtwürdigung der Kriterien ermöglicht, die der Ermittlung des wirtschaftlichsten Angebots dienen. Dies ist beispielsweise nicht der Fall, wenn die Bewertungsmatrix wegen </w:t>
            </w:r>
            <w:r>
              <w:lastRenderedPageBreak/>
              <w:t>einer nivellierenden Tendenz und nicht schlüssigen Abstufung keine ausreichende Differenzierung der unterschiedlichen Angebote herbeiführt.</w:t>
            </w:r>
          </w:p>
          <w:p w14:paraId="732B05E6" w14:textId="77777777" w:rsidR="00ED03DE" w:rsidRDefault="00ED03DE" w:rsidP="00ED03DE">
            <w:r>
              <w:t>(Müller-Wrede in: Müller-Wrede, VgV /</w:t>
            </w:r>
            <w:r>
              <w:rPr>
                <w:rFonts w:ascii="Arial" w:hAnsi="Arial" w:cs="Arial"/>
              </w:rPr>
              <w:t>​</w:t>
            </w:r>
            <w:r>
              <w:t xml:space="preserve"> UVgO - Kommentar, 5. Aufl. 2017, </w:t>
            </w:r>
            <w:r>
              <w:rPr>
                <w:rFonts w:ascii="Aptos" w:hAnsi="Aptos" w:cs="Aptos"/>
              </w:rPr>
              <w:t>§ </w:t>
            </w:r>
            <w:r>
              <w:t>76 VgV Zuschlag, Rn. 27)</w:t>
            </w:r>
          </w:p>
          <w:p w14:paraId="548E4875" w14:textId="5A18AEB3" w:rsidR="00ED03DE" w:rsidRDefault="00ED03DE" w:rsidP="00ED03DE">
            <w:r>
              <w:t>Der Preis ist ein in jedem Fall unverzichtbares Kriterium zur Ermittlung des wirtschaftlichsten Angebotes, denn dieses ergibt sich aus dem besten Preis-Leistungs-Verhältnis</w:t>
            </w:r>
            <w:r w:rsidR="005B16B8">
              <w:t xml:space="preserve">, </w:t>
            </w:r>
            <w:r>
              <w:t>§ 58 Abs. 2 S. 1 VgV. (Anm. § 58 Abs. 2 Satz 1 VgV ist auch im Rahmen von § 76 VgV anwendbar)</w:t>
            </w:r>
          </w:p>
          <w:p w14:paraId="717E8CBD" w14:textId="77777777" w:rsidR="00ED03DE" w:rsidRDefault="00ED03DE" w:rsidP="00ED03DE">
            <w:r>
              <w:t>(Müller-Wrede in: Müller-Wrede, VgV /</w:t>
            </w:r>
            <w:r>
              <w:rPr>
                <w:rFonts w:ascii="Arial" w:hAnsi="Arial" w:cs="Arial"/>
              </w:rPr>
              <w:t>​</w:t>
            </w:r>
            <w:r>
              <w:t xml:space="preserve"> UVgO - Kommentar, 5. Aufl. 2017, </w:t>
            </w:r>
            <w:r>
              <w:rPr>
                <w:rFonts w:ascii="Aptos" w:hAnsi="Aptos" w:cs="Aptos"/>
              </w:rPr>
              <w:t>§ </w:t>
            </w:r>
            <w:r>
              <w:t>76 VgV Zuschlag, Rn. 58).</w:t>
            </w:r>
          </w:p>
          <w:p w14:paraId="1EEA1F81" w14:textId="77777777" w:rsidR="00ED03DE" w:rsidRDefault="00ED03DE" w:rsidP="00ED03DE">
            <w:r>
              <w:t>Ein kategorisches Verbot jeglichen Preiswettbewerbes wird man aus § 76 Abs. 1 S. 1 VgV nicht ablesen können. Sonst ergäbe auch § 76 Abs. 1 S. 2 VgV keinen Sinn. Insofern darf ein Preiswettbewerb stattfinden, sofern ein funktionierender Leistungswettbewerb uneingeschränkt gewährleistet ist. Allerdings wird man die Gewichtung des Zuschlagskriteriums „Preis“ eher noch mehr als bisher begrenzen müssen, denn es muss gewährleistet werden, dass die Leistungen im Ergebnis des Vergabeverfahrens „im Leistungswettbewerb vergeben“ werden. Die jetzigen Regelungen fordern dagegen nicht mehr, dass ein Preiswettbewerb stattfinden muss. Dies zeigt sich in der Erlaubnis, einen Festpreis vorzugeben (§ 58 Abs. 2 S. 2 VgV).</w:t>
            </w:r>
          </w:p>
          <w:p w14:paraId="16C7609F" w14:textId="77777777" w:rsidR="00ED03DE" w:rsidRDefault="00ED03DE" w:rsidP="00ED03DE">
            <w:r>
              <w:t>(Müller-Wrede in: Müller-Wrede, VgV /</w:t>
            </w:r>
            <w:r>
              <w:rPr>
                <w:rFonts w:ascii="Arial" w:hAnsi="Arial" w:cs="Arial"/>
              </w:rPr>
              <w:t>​</w:t>
            </w:r>
            <w:r>
              <w:t xml:space="preserve"> UVgO - Kommentar, 5. Aufl. 2017, </w:t>
            </w:r>
            <w:r>
              <w:rPr>
                <w:rFonts w:ascii="Aptos" w:hAnsi="Aptos" w:cs="Aptos"/>
              </w:rPr>
              <w:t>§ </w:t>
            </w:r>
            <w:r>
              <w:t>76 VgV Zuschlag, Rn. 66)</w:t>
            </w:r>
          </w:p>
          <w:p w14:paraId="79D2758C" w14:textId="4DA8489F" w:rsidR="00ED03DE" w:rsidRDefault="00ED03DE" w:rsidP="00ED03DE">
            <w:r>
              <w:t xml:space="preserve">Nach </w:t>
            </w:r>
            <w:r w:rsidRPr="00ED03DE">
              <w:rPr>
                <w:b/>
                <w:bCs/>
              </w:rPr>
              <w:t>nochmaliger</w:t>
            </w:r>
            <w:r>
              <w:t xml:space="preserve"> Prüfung der einschlägigen Kommentarliteratur und den geäußerten Meinungen diverser Berufsverbände ist festzustellen</w:t>
            </w:r>
            <w:r w:rsidRPr="0093102E">
              <w:t xml:space="preserve">, dass eine </w:t>
            </w:r>
            <w:r w:rsidR="005B16B8">
              <w:t>Gew</w:t>
            </w:r>
            <w:r w:rsidRPr="0093102E">
              <w:t>ichtung des</w:t>
            </w:r>
            <w:r>
              <w:t xml:space="preserve"> </w:t>
            </w:r>
            <w:r w:rsidRPr="0093102E">
              <w:t xml:space="preserve">Preises mit 50 % und mehr </w:t>
            </w:r>
            <w:r w:rsidR="005B16B8">
              <w:t xml:space="preserve">nach überwiegender Ansicht </w:t>
            </w:r>
            <w:r w:rsidRPr="0093102E">
              <w:t>vergaberechtswidrig</w:t>
            </w:r>
            <w:r>
              <w:t xml:space="preserve"> </w:t>
            </w:r>
            <w:r w:rsidR="005B16B8">
              <w:t>ist</w:t>
            </w:r>
            <w:r w:rsidRPr="0093102E">
              <w:t>. Eine Vergabe auf dieser</w:t>
            </w:r>
            <w:r>
              <w:t xml:space="preserve"> </w:t>
            </w:r>
            <w:r w:rsidRPr="0093102E">
              <w:t>Grundlage verstößt jedenfalls gegen</w:t>
            </w:r>
            <w:r>
              <w:t xml:space="preserve"> </w:t>
            </w:r>
            <w:r w:rsidRPr="0093102E">
              <w:t>§ 76 Abs. 1 VgV.</w:t>
            </w:r>
          </w:p>
          <w:p w14:paraId="19F46822" w14:textId="433B59B9" w:rsidR="00ED03DE" w:rsidRDefault="00ED03DE" w:rsidP="00ED03DE">
            <w:r>
              <w:t>Allerdings ist eine Gewichtung des Preises mit 4</w:t>
            </w:r>
            <w:r w:rsidRPr="0093102E">
              <w:t xml:space="preserve">0 % </w:t>
            </w:r>
            <w:r>
              <w:t xml:space="preserve">zulässig, denn diese </w:t>
            </w:r>
            <w:r w:rsidRPr="0093102E">
              <w:t>hängt vom Einzelfall ab. Zum Beispiel</w:t>
            </w:r>
            <w:r>
              <w:t xml:space="preserve"> </w:t>
            </w:r>
            <w:r w:rsidRPr="0093102E">
              <w:t>davon, ob es sich um besonders schwierige</w:t>
            </w:r>
            <w:r w:rsidR="005B16B8">
              <w:t>s</w:t>
            </w:r>
            <w:r>
              <w:t xml:space="preserve"> </w:t>
            </w:r>
            <w:r w:rsidRPr="0093102E">
              <w:t>oder besonders komplexe</w:t>
            </w:r>
            <w:r w:rsidR="005B16B8">
              <w:t>s</w:t>
            </w:r>
            <w:r w:rsidRPr="0093102E">
              <w:t xml:space="preserve"> Vorhaben</w:t>
            </w:r>
            <w:r>
              <w:t xml:space="preserve"> </w:t>
            </w:r>
            <w:r w:rsidRPr="0093102E">
              <w:t>handelt, bei denen der Preis eine eher</w:t>
            </w:r>
            <w:r>
              <w:t xml:space="preserve"> </w:t>
            </w:r>
            <w:r w:rsidRPr="0093102E">
              <w:t xml:space="preserve">nachgeordnete Rolle spielt. </w:t>
            </w:r>
            <w:r w:rsidRPr="0093102E">
              <w:lastRenderedPageBreak/>
              <w:t>Oder ob es</w:t>
            </w:r>
            <w:r>
              <w:t xml:space="preserve"> </w:t>
            </w:r>
            <w:r w:rsidRPr="0093102E">
              <w:t>sich um eher einfache Aufgaben handelt</w:t>
            </w:r>
            <w:r>
              <w:t xml:space="preserve">. </w:t>
            </w:r>
            <w:r w:rsidRPr="0093102E">
              <w:t>Dies festzulegen und den Preis angemessen</w:t>
            </w:r>
            <w:r>
              <w:t xml:space="preserve"> </w:t>
            </w:r>
            <w:r w:rsidRPr="0093102E">
              <w:t>in die Wertung einzubeziehen, ist</w:t>
            </w:r>
            <w:r>
              <w:t xml:space="preserve"> </w:t>
            </w:r>
            <w:r w:rsidRPr="0093102E">
              <w:t>Sache und Aufgabe des Auftraggebers.</w:t>
            </w:r>
            <w:r>
              <w:t xml:space="preserve"> Diese Abwägung wurde durch die Fachabteilung vorgenommen</w:t>
            </w:r>
            <w:r w:rsidR="005B16B8">
              <w:t xml:space="preserve">. Der </w:t>
            </w:r>
            <w:r>
              <w:t xml:space="preserve">Schwierigkeitsgrad der vorliegenden Planungen </w:t>
            </w:r>
            <w:r w:rsidR="005B16B8">
              <w:t>w</w:t>
            </w:r>
            <w:r w:rsidR="00020B49">
              <w:t>u</w:t>
            </w:r>
            <w:r w:rsidR="005B16B8">
              <w:t xml:space="preserve">rden </w:t>
            </w:r>
            <w:r>
              <w:t>als</w:t>
            </w:r>
            <w:r w:rsidR="00020B49">
              <w:t xml:space="preserve"> eher</w:t>
            </w:r>
            <w:r>
              <w:t xml:space="preserve"> nicht besonders komplexes Vorhaben </w:t>
            </w:r>
            <w:r w:rsidR="005B16B8">
              <w:t>eingestuft</w:t>
            </w:r>
            <w:r>
              <w:t>.</w:t>
            </w:r>
            <w:r w:rsidR="00020B49">
              <w:t xml:space="preserve"> Eine</w:t>
            </w:r>
            <w:r>
              <w:t xml:space="preserve"> Rechtsprechung, die die Preisgewichtung von 40 Prozent als unzulässig erklärt ist vorliegend nicht bekannt. </w:t>
            </w:r>
          </w:p>
          <w:p w14:paraId="504BA5F6" w14:textId="77777777" w:rsidR="00ED03DE" w:rsidRDefault="00ED03DE" w:rsidP="00ED03DE">
            <w:r>
              <w:t>Die Gewichtung des Preises bleibt daher bei 40 Prozent.</w:t>
            </w:r>
          </w:p>
          <w:p w14:paraId="102412EC" w14:textId="77777777" w:rsidR="00F34296" w:rsidRDefault="00F34296" w:rsidP="00ED03DE"/>
          <w:p w14:paraId="5C145C9D" w14:textId="4D1D632D" w:rsidR="00F34296" w:rsidRDefault="00F34296" w:rsidP="00ED03DE">
            <w:r>
              <w:t>Zur Honorarzone:</w:t>
            </w:r>
          </w:p>
          <w:p w14:paraId="733CC981" w14:textId="51D5BF7F" w:rsidR="00F34296" w:rsidRDefault="00617004" w:rsidP="00ED03DE">
            <w:r>
              <w:t xml:space="preserve">Die Honorarzone bzgl. der Freianlagen wurde nach erneuter Abwägung von 2 in 3 geändert. Im Vertragsentwurf wurde diese Anpassung nicht vorgenommen. Da es sich lediglich um einen Entwurf handelt. Die finale Fassung wird selbstverständlich angepasst. </w:t>
            </w:r>
          </w:p>
          <w:p w14:paraId="74D13955" w14:textId="1E6A8AAD" w:rsidR="00ED03DE" w:rsidRDefault="00ED03DE" w:rsidP="001C45A9"/>
        </w:tc>
      </w:tr>
      <w:tr w:rsidR="00ED03DE" w14:paraId="7AB93FD2" w14:textId="77777777" w:rsidTr="00ED03DE">
        <w:tc>
          <w:tcPr>
            <w:tcW w:w="4565" w:type="dxa"/>
            <w:hideMark/>
          </w:tcPr>
          <w:p w14:paraId="03CBECE1" w14:textId="511D89AF" w:rsidR="00ED03DE" w:rsidRDefault="00ED03DE" w:rsidP="001C45A9">
            <w:r>
              <w:lastRenderedPageBreak/>
              <w:t>Bieterfrage 2</w:t>
            </w:r>
          </w:p>
        </w:tc>
        <w:tc>
          <w:tcPr>
            <w:tcW w:w="4497" w:type="dxa"/>
            <w:hideMark/>
          </w:tcPr>
          <w:p w14:paraId="414B2438" w14:textId="6F3CB3A3" w:rsidR="00ED03DE" w:rsidRDefault="00ED03DE" w:rsidP="001C45A9">
            <w:r>
              <w:t xml:space="preserve">Antwort bzgl. Bieterfrage 2 </w:t>
            </w:r>
          </w:p>
        </w:tc>
      </w:tr>
      <w:tr w:rsidR="00ED03DE" w14:paraId="6F874A9D" w14:textId="77777777" w:rsidTr="00ED03DE">
        <w:tc>
          <w:tcPr>
            <w:tcW w:w="4565" w:type="dxa"/>
          </w:tcPr>
          <w:p w14:paraId="2D3739DF" w14:textId="77777777" w:rsidR="00ED03DE" w:rsidRPr="00ED03DE" w:rsidRDefault="00ED03DE" w:rsidP="00ED03DE">
            <w:r w:rsidRPr="00ED03DE">
              <w:t>Sehr geehrte Damen und Herren,</w:t>
            </w:r>
          </w:p>
          <w:p w14:paraId="3AB3F6B4" w14:textId="77777777" w:rsidR="00ED03DE" w:rsidRPr="00ED03DE" w:rsidRDefault="00ED03DE" w:rsidP="00ED03DE">
            <w:r w:rsidRPr="00ED03DE">
              <w:t>nur um ganz sicher zu gehen.</w:t>
            </w:r>
            <w:r w:rsidRPr="00ED03DE">
              <w:br/>
              <w:t>Ist es möglich sich nur auf 1 Los zu bewerben?</w:t>
            </w:r>
            <w:r w:rsidRPr="00ED03DE">
              <w:br/>
              <w:t>Ohne eine Bietergemeinschaft zu bilden?</w:t>
            </w:r>
          </w:p>
          <w:p w14:paraId="3F615A13" w14:textId="00AE7F29" w:rsidR="00ED03DE" w:rsidRDefault="00ED03DE" w:rsidP="001C45A9">
            <w:r w:rsidRPr="00ED03DE">
              <w:t>In der Angebotsaufforderung fehlt auf Seite 2 m.E. ein zweites Kreuz bei (nur ein Los).</w:t>
            </w:r>
          </w:p>
        </w:tc>
        <w:tc>
          <w:tcPr>
            <w:tcW w:w="4497" w:type="dxa"/>
          </w:tcPr>
          <w:p w14:paraId="4323F277" w14:textId="77777777" w:rsidR="00ED03DE" w:rsidRDefault="00ED03DE" w:rsidP="001C45A9">
            <w:r>
              <w:t>Es ist möglich sich nur auf eines der beiden Lose zu bewerbe</w:t>
            </w:r>
            <w:r w:rsidR="00A84E6C">
              <w:t xml:space="preserve">n, ohne eine Bietergemeinschaft zu bilden. </w:t>
            </w:r>
          </w:p>
          <w:p w14:paraId="226DF61C" w14:textId="667C6D7F" w:rsidR="00A84E6C" w:rsidRDefault="00A84E6C" w:rsidP="001C45A9">
            <w:r>
              <w:t xml:space="preserve">Die Unterlage wurde zur Klarstellung berichtigt. </w:t>
            </w:r>
          </w:p>
        </w:tc>
      </w:tr>
      <w:tr w:rsidR="00ED03DE" w14:paraId="494D3C8A" w14:textId="77777777" w:rsidTr="00ED03DE">
        <w:tc>
          <w:tcPr>
            <w:tcW w:w="4565" w:type="dxa"/>
            <w:hideMark/>
          </w:tcPr>
          <w:p w14:paraId="2AB0BC35" w14:textId="54576DF1" w:rsidR="00ED03DE" w:rsidRDefault="00ED03DE" w:rsidP="001C45A9">
            <w:r>
              <w:t>Bieterfrage 3</w:t>
            </w:r>
          </w:p>
        </w:tc>
        <w:tc>
          <w:tcPr>
            <w:tcW w:w="4497" w:type="dxa"/>
            <w:hideMark/>
          </w:tcPr>
          <w:p w14:paraId="593109AE" w14:textId="7624E24B" w:rsidR="00ED03DE" w:rsidRDefault="00ED03DE" w:rsidP="001C45A9">
            <w:r>
              <w:t>Antwort bzgl. Bieterfrage 3</w:t>
            </w:r>
          </w:p>
        </w:tc>
      </w:tr>
      <w:tr w:rsidR="00ED03DE" w14:paraId="3E3C3A3E" w14:textId="77777777" w:rsidTr="00ED03DE">
        <w:tc>
          <w:tcPr>
            <w:tcW w:w="4565" w:type="dxa"/>
          </w:tcPr>
          <w:p w14:paraId="45F927F0" w14:textId="3ED9B9E4" w:rsidR="00ED03DE" w:rsidRPr="00ED03DE" w:rsidRDefault="00ED03DE" w:rsidP="00ED03DE">
            <w:r>
              <w:t>E</w:t>
            </w:r>
            <w:r w:rsidRPr="00ED03DE">
              <w:t xml:space="preserve">rgänzend möchte ich mich erkundigen, ob ich das Los, welches ich nicht anbieten möchte im LV durchstreichen soll / darf? </w:t>
            </w:r>
          </w:p>
          <w:p w14:paraId="027E003A" w14:textId="77777777" w:rsidR="00ED03DE" w:rsidRPr="00ED03DE" w:rsidRDefault="00ED03DE" w:rsidP="00ED03DE">
            <w:r w:rsidRPr="00ED03DE">
              <w:t>Das im Ordner "vom_unternehmen_auszufuellende_Dokumente" enthaltene "06. Angebotsschreiben (VHB 324 EU).docx"</w:t>
            </w:r>
            <w:r w:rsidRPr="00ED03DE">
              <w:br/>
              <w:t>ermöglicht keine Kennzeichnung, dass ich mich nur auf eines der beiden Lose bewerben kann/möchte.</w:t>
            </w:r>
            <w:r w:rsidRPr="00ED03DE">
              <w:br/>
              <w:t>Demnach wäre es nicht möglich!</w:t>
            </w:r>
          </w:p>
          <w:p w14:paraId="36DB62F9" w14:textId="77777777" w:rsidR="00ED03DE" w:rsidRPr="00ED03DE" w:rsidRDefault="00ED03DE" w:rsidP="00ED03DE">
            <w:r w:rsidRPr="00ED03DE">
              <w:t xml:space="preserve">Das nicht im Ordner "vom_unternehmen_auszufuellende_Dokumente" enthaltene, aber mit einzureichende Dokument, "LV Honorarabfrage Verkehrsanlagen und Freianlagen Busbahnhof.pdf" (Ausgefüllte Leistungsbeschreibungen/Honorarabfrage) ließe sich als </w:t>
            </w:r>
            <w:r w:rsidRPr="00ED03DE">
              <w:br/>
              <w:t>I. Leistungsbild 1 - Verkehrsanlagen separat ausfüllen.</w:t>
            </w:r>
            <w:r w:rsidRPr="00ED03DE">
              <w:br/>
            </w:r>
            <w:r w:rsidRPr="00ED03DE">
              <w:lastRenderedPageBreak/>
              <w:t>Da würden wir dann II. Leistungsbild 2 - Freianlagen durchstreichen oder leer lassen.</w:t>
            </w:r>
          </w:p>
          <w:p w14:paraId="1970C341" w14:textId="77777777" w:rsidR="00ED03DE" w:rsidRPr="00ED03DE" w:rsidRDefault="00ED03DE" w:rsidP="00ED03DE">
            <w:r w:rsidRPr="00ED03DE">
              <w:t>Alles unter der Voraussetzung, dass man sich auch nur auf 1 Los bewerben darf. Separat beauftragt werden sollen die Lose ja zumindest.</w:t>
            </w:r>
          </w:p>
          <w:p w14:paraId="33185C4A" w14:textId="77777777" w:rsidR="00ED03DE" w:rsidRDefault="00ED03DE" w:rsidP="001C45A9"/>
        </w:tc>
        <w:tc>
          <w:tcPr>
            <w:tcW w:w="4497" w:type="dxa"/>
          </w:tcPr>
          <w:p w14:paraId="685F9E9D" w14:textId="77777777" w:rsidR="00ED03DE" w:rsidRDefault="00A84E6C" w:rsidP="001C45A9">
            <w:r>
              <w:lastRenderedPageBreak/>
              <w:t xml:space="preserve">Sie dürfen das Los aus Klarstellungsgründen durchstreichen. </w:t>
            </w:r>
          </w:p>
          <w:p w14:paraId="4D946C0F" w14:textId="77777777" w:rsidR="00333C4C" w:rsidRDefault="00333C4C" w:rsidP="001C45A9"/>
          <w:p w14:paraId="2D39BB05" w14:textId="7B92143A" w:rsidR="00333C4C" w:rsidRDefault="00333C4C" w:rsidP="001C45A9">
            <w:r>
              <w:t xml:space="preserve">Das Formular VHB 324 wurde angepasst. </w:t>
            </w:r>
            <w:r w:rsidR="00F34296">
              <w:t>Alle 3 Varianten sind abgebildet. Sie können die unzutreffenden</w:t>
            </w:r>
            <w:r w:rsidR="00617004">
              <w:t xml:space="preserve"> Angaben</w:t>
            </w:r>
            <w:r w:rsidR="00F34296">
              <w:t xml:space="preserve"> löschen oder ein Kreuz hinter d</w:t>
            </w:r>
            <w:r w:rsidR="00617004">
              <w:t>er</w:t>
            </w:r>
            <w:r w:rsidR="00F34296">
              <w:t xml:space="preserve"> zutreffenden Variante machen. </w:t>
            </w:r>
          </w:p>
          <w:p w14:paraId="161ED586" w14:textId="77777777" w:rsidR="00F34296" w:rsidRDefault="00F34296" w:rsidP="001C45A9"/>
          <w:p w14:paraId="48995AC6" w14:textId="30C566A0" w:rsidR="00F34296" w:rsidRDefault="00F34296" w:rsidP="001C45A9">
            <w:r>
              <w:t xml:space="preserve">Das Durchstreichen des nicht zutreffenden Leistungsbildes ist zulässig. </w:t>
            </w:r>
          </w:p>
        </w:tc>
      </w:tr>
    </w:tbl>
    <w:p w14:paraId="3A63C309" w14:textId="77777777" w:rsidR="00FB21D7" w:rsidRDefault="00FB21D7" w:rsidP="00FB21D7"/>
    <w:p w14:paraId="203E1593" w14:textId="77777777" w:rsidR="00FB21D7" w:rsidRDefault="00FB21D7"/>
    <w:p w14:paraId="08CE7210" w14:textId="77777777" w:rsidR="00FB21D7" w:rsidRDefault="00FB21D7">
      <w:pPr>
        <w:rPr>
          <w:b/>
          <w:u w:val="single"/>
        </w:rPr>
      </w:pPr>
    </w:p>
    <w:p w14:paraId="72FA7220" w14:textId="77777777" w:rsidR="00FB21D7" w:rsidRDefault="00FB21D7">
      <w:pPr>
        <w:rPr>
          <w:b/>
          <w:u w:val="single"/>
        </w:rPr>
      </w:pPr>
    </w:p>
    <w:p w14:paraId="0CF93D2C" w14:textId="77777777" w:rsidR="00FB21D7" w:rsidRDefault="00FB21D7">
      <w:pPr>
        <w:rPr>
          <w:b/>
          <w:u w:val="single"/>
        </w:rPr>
      </w:pPr>
    </w:p>
    <w:p w14:paraId="50AC8B16" w14:textId="77777777" w:rsidR="00FB21D7" w:rsidRDefault="00FB21D7">
      <w:pPr>
        <w:rPr>
          <w:b/>
          <w:u w:val="single"/>
        </w:rPr>
      </w:pPr>
    </w:p>
    <w:p w14:paraId="0660BD7D" w14:textId="77777777" w:rsidR="00C2499A" w:rsidRDefault="00C2499A"/>
    <w:p w14:paraId="48520681" w14:textId="77777777" w:rsidR="00FB21D7" w:rsidRDefault="00FB21D7"/>
    <w:sectPr w:rsidR="00FB21D7">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0A995" w14:textId="77777777" w:rsidR="00C2499A" w:rsidRDefault="00C2499A" w:rsidP="00C2499A">
      <w:pPr>
        <w:spacing w:after="0" w:line="240" w:lineRule="auto"/>
      </w:pPr>
      <w:r>
        <w:separator/>
      </w:r>
    </w:p>
  </w:endnote>
  <w:endnote w:type="continuationSeparator" w:id="0">
    <w:p w14:paraId="648E1116" w14:textId="77777777" w:rsidR="00C2499A" w:rsidRDefault="00C2499A" w:rsidP="00C2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8EE79" w14:textId="77777777" w:rsidR="00C2499A" w:rsidRDefault="00C2499A" w:rsidP="00C2499A">
      <w:pPr>
        <w:spacing w:after="0" w:line="240" w:lineRule="auto"/>
      </w:pPr>
      <w:r>
        <w:separator/>
      </w:r>
    </w:p>
  </w:footnote>
  <w:footnote w:type="continuationSeparator" w:id="0">
    <w:p w14:paraId="6712F66A" w14:textId="77777777" w:rsidR="00C2499A" w:rsidRDefault="00C2499A" w:rsidP="00C24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E684" w14:textId="77777777" w:rsidR="00C2499A" w:rsidRDefault="00C2499A" w:rsidP="00C2499A">
    <w:pPr>
      <w:pStyle w:val="Kopfzeile"/>
      <w:jc w:val="center"/>
    </w:pPr>
    <w:r>
      <w:rPr>
        <w:noProof/>
        <w:lang w:eastAsia="de-DE"/>
      </w:rPr>
      <w:drawing>
        <wp:inline distT="0" distB="0" distL="0" distR="0" wp14:anchorId="3A616EB9" wp14:editId="46E17AA9">
          <wp:extent cx="499745" cy="506095"/>
          <wp:effectExtent l="0" t="0" r="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74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2035F"/>
    <w:multiLevelType w:val="hybridMultilevel"/>
    <w:tmpl w:val="BEA0A70A"/>
    <w:lvl w:ilvl="0" w:tplc="FAE0F17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54C85348"/>
    <w:multiLevelType w:val="hybridMultilevel"/>
    <w:tmpl w:val="1902D9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B9176B4"/>
    <w:multiLevelType w:val="hybridMultilevel"/>
    <w:tmpl w:val="D83E70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41331710">
    <w:abstractNumId w:val="1"/>
  </w:num>
  <w:num w:numId="2" w16cid:durableId="2082212990">
    <w:abstractNumId w:val="2"/>
  </w:num>
  <w:num w:numId="3" w16cid:durableId="924073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99A"/>
    <w:rsid w:val="00020B49"/>
    <w:rsid w:val="000D338C"/>
    <w:rsid w:val="001655D4"/>
    <w:rsid w:val="001857AF"/>
    <w:rsid w:val="001E3D62"/>
    <w:rsid w:val="00260D3A"/>
    <w:rsid w:val="002E4A98"/>
    <w:rsid w:val="002F363B"/>
    <w:rsid w:val="00333C4C"/>
    <w:rsid w:val="00376381"/>
    <w:rsid w:val="00476C4D"/>
    <w:rsid w:val="00496A8B"/>
    <w:rsid w:val="005B16B8"/>
    <w:rsid w:val="00617004"/>
    <w:rsid w:val="00687C0E"/>
    <w:rsid w:val="00793E03"/>
    <w:rsid w:val="007A0098"/>
    <w:rsid w:val="00810DC1"/>
    <w:rsid w:val="00812097"/>
    <w:rsid w:val="00877034"/>
    <w:rsid w:val="008C7E8B"/>
    <w:rsid w:val="00952FD6"/>
    <w:rsid w:val="00A84E6C"/>
    <w:rsid w:val="00B342E9"/>
    <w:rsid w:val="00BE0F56"/>
    <w:rsid w:val="00C2499A"/>
    <w:rsid w:val="00D47C93"/>
    <w:rsid w:val="00DD6CA9"/>
    <w:rsid w:val="00ED03DE"/>
    <w:rsid w:val="00F34296"/>
    <w:rsid w:val="00F42398"/>
    <w:rsid w:val="00F53668"/>
    <w:rsid w:val="00FB21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B984A"/>
  <w15:docId w15:val="{3554B06D-D672-458A-9212-0D7A34BF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249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2499A"/>
  </w:style>
  <w:style w:type="paragraph" w:styleId="Fuzeile">
    <w:name w:val="footer"/>
    <w:basedOn w:val="Standard"/>
    <w:link w:val="FuzeileZchn"/>
    <w:uiPriority w:val="99"/>
    <w:unhideWhenUsed/>
    <w:rsid w:val="00C249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2499A"/>
  </w:style>
  <w:style w:type="paragraph" w:styleId="Sprechblasentext">
    <w:name w:val="Balloon Text"/>
    <w:basedOn w:val="Standard"/>
    <w:link w:val="SprechblasentextZchn"/>
    <w:uiPriority w:val="99"/>
    <w:semiHidden/>
    <w:unhideWhenUsed/>
    <w:rsid w:val="00C2499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2499A"/>
    <w:rPr>
      <w:rFonts w:ascii="Tahoma" w:hAnsi="Tahoma" w:cs="Tahoma"/>
      <w:sz w:val="16"/>
      <w:szCs w:val="16"/>
    </w:rPr>
  </w:style>
  <w:style w:type="table" w:styleId="Tabellenraster">
    <w:name w:val="Table Grid"/>
    <w:basedOn w:val="NormaleTabelle"/>
    <w:uiPriority w:val="59"/>
    <w:rsid w:val="00FB21D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10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883">
      <w:bodyDiv w:val="1"/>
      <w:marLeft w:val="0"/>
      <w:marRight w:val="0"/>
      <w:marTop w:val="0"/>
      <w:marBottom w:val="0"/>
      <w:divBdr>
        <w:top w:val="none" w:sz="0" w:space="0" w:color="auto"/>
        <w:left w:val="none" w:sz="0" w:space="0" w:color="auto"/>
        <w:bottom w:val="none" w:sz="0" w:space="0" w:color="auto"/>
        <w:right w:val="none" w:sz="0" w:space="0" w:color="auto"/>
      </w:divBdr>
    </w:div>
    <w:div w:id="86460018">
      <w:bodyDiv w:val="1"/>
      <w:marLeft w:val="0"/>
      <w:marRight w:val="0"/>
      <w:marTop w:val="0"/>
      <w:marBottom w:val="0"/>
      <w:divBdr>
        <w:top w:val="none" w:sz="0" w:space="0" w:color="auto"/>
        <w:left w:val="none" w:sz="0" w:space="0" w:color="auto"/>
        <w:bottom w:val="none" w:sz="0" w:space="0" w:color="auto"/>
        <w:right w:val="none" w:sz="0" w:space="0" w:color="auto"/>
      </w:divBdr>
    </w:div>
    <w:div w:id="140271304">
      <w:bodyDiv w:val="1"/>
      <w:marLeft w:val="0"/>
      <w:marRight w:val="0"/>
      <w:marTop w:val="0"/>
      <w:marBottom w:val="0"/>
      <w:divBdr>
        <w:top w:val="none" w:sz="0" w:space="0" w:color="auto"/>
        <w:left w:val="none" w:sz="0" w:space="0" w:color="auto"/>
        <w:bottom w:val="none" w:sz="0" w:space="0" w:color="auto"/>
        <w:right w:val="none" w:sz="0" w:space="0" w:color="auto"/>
      </w:divBdr>
    </w:div>
    <w:div w:id="186455576">
      <w:bodyDiv w:val="1"/>
      <w:marLeft w:val="0"/>
      <w:marRight w:val="0"/>
      <w:marTop w:val="0"/>
      <w:marBottom w:val="0"/>
      <w:divBdr>
        <w:top w:val="none" w:sz="0" w:space="0" w:color="auto"/>
        <w:left w:val="none" w:sz="0" w:space="0" w:color="auto"/>
        <w:bottom w:val="none" w:sz="0" w:space="0" w:color="auto"/>
        <w:right w:val="none" w:sz="0" w:space="0" w:color="auto"/>
      </w:divBdr>
    </w:div>
    <w:div w:id="244724150">
      <w:bodyDiv w:val="1"/>
      <w:marLeft w:val="0"/>
      <w:marRight w:val="0"/>
      <w:marTop w:val="0"/>
      <w:marBottom w:val="0"/>
      <w:divBdr>
        <w:top w:val="none" w:sz="0" w:space="0" w:color="auto"/>
        <w:left w:val="none" w:sz="0" w:space="0" w:color="auto"/>
        <w:bottom w:val="none" w:sz="0" w:space="0" w:color="auto"/>
        <w:right w:val="none" w:sz="0" w:space="0" w:color="auto"/>
      </w:divBdr>
    </w:div>
    <w:div w:id="284701596">
      <w:bodyDiv w:val="1"/>
      <w:marLeft w:val="0"/>
      <w:marRight w:val="0"/>
      <w:marTop w:val="0"/>
      <w:marBottom w:val="0"/>
      <w:divBdr>
        <w:top w:val="none" w:sz="0" w:space="0" w:color="auto"/>
        <w:left w:val="none" w:sz="0" w:space="0" w:color="auto"/>
        <w:bottom w:val="none" w:sz="0" w:space="0" w:color="auto"/>
        <w:right w:val="none" w:sz="0" w:space="0" w:color="auto"/>
      </w:divBdr>
    </w:div>
    <w:div w:id="345443271">
      <w:bodyDiv w:val="1"/>
      <w:marLeft w:val="0"/>
      <w:marRight w:val="0"/>
      <w:marTop w:val="0"/>
      <w:marBottom w:val="0"/>
      <w:divBdr>
        <w:top w:val="none" w:sz="0" w:space="0" w:color="auto"/>
        <w:left w:val="none" w:sz="0" w:space="0" w:color="auto"/>
        <w:bottom w:val="none" w:sz="0" w:space="0" w:color="auto"/>
        <w:right w:val="none" w:sz="0" w:space="0" w:color="auto"/>
      </w:divBdr>
    </w:div>
    <w:div w:id="476193869">
      <w:bodyDiv w:val="1"/>
      <w:marLeft w:val="0"/>
      <w:marRight w:val="0"/>
      <w:marTop w:val="0"/>
      <w:marBottom w:val="0"/>
      <w:divBdr>
        <w:top w:val="none" w:sz="0" w:space="0" w:color="auto"/>
        <w:left w:val="none" w:sz="0" w:space="0" w:color="auto"/>
        <w:bottom w:val="none" w:sz="0" w:space="0" w:color="auto"/>
        <w:right w:val="none" w:sz="0" w:space="0" w:color="auto"/>
      </w:divBdr>
    </w:div>
    <w:div w:id="687413626">
      <w:bodyDiv w:val="1"/>
      <w:marLeft w:val="0"/>
      <w:marRight w:val="0"/>
      <w:marTop w:val="0"/>
      <w:marBottom w:val="0"/>
      <w:divBdr>
        <w:top w:val="none" w:sz="0" w:space="0" w:color="auto"/>
        <w:left w:val="none" w:sz="0" w:space="0" w:color="auto"/>
        <w:bottom w:val="none" w:sz="0" w:space="0" w:color="auto"/>
        <w:right w:val="none" w:sz="0" w:space="0" w:color="auto"/>
      </w:divBdr>
    </w:div>
    <w:div w:id="830801545">
      <w:bodyDiv w:val="1"/>
      <w:marLeft w:val="0"/>
      <w:marRight w:val="0"/>
      <w:marTop w:val="0"/>
      <w:marBottom w:val="0"/>
      <w:divBdr>
        <w:top w:val="none" w:sz="0" w:space="0" w:color="auto"/>
        <w:left w:val="none" w:sz="0" w:space="0" w:color="auto"/>
        <w:bottom w:val="none" w:sz="0" w:space="0" w:color="auto"/>
        <w:right w:val="none" w:sz="0" w:space="0" w:color="auto"/>
      </w:divBdr>
    </w:div>
    <w:div w:id="900214592">
      <w:bodyDiv w:val="1"/>
      <w:marLeft w:val="0"/>
      <w:marRight w:val="0"/>
      <w:marTop w:val="0"/>
      <w:marBottom w:val="0"/>
      <w:divBdr>
        <w:top w:val="none" w:sz="0" w:space="0" w:color="auto"/>
        <w:left w:val="none" w:sz="0" w:space="0" w:color="auto"/>
        <w:bottom w:val="none" w:sz="0" w:space="0" w:color="auto"/>
        <w:right w:val="none" w:sz="0" w:space="0" w:color="auto"/>
      </w:divBdr>
    </w:div>
    <w:div w:id="926160427">
      <w:bodyDiv w:val="1"/>
      <w:marLeft w:val="0"/>
      <w:marRight w:val="0"/>
      <w:marTop w:val="0"/>
      <w:marBottom w:val="0"/>
      <w:divBdr>
        <w:top w:val="none" w:sz="0" w:space="0" w:color="auto"/>
        <w:left w:val="none" w:sz="0" w:space="0" w:color="auto"/>
        <w:bottom w:val="none" w:sz="0" w:space="0" w:color="auto"/>
        <w:right w:val="none" w:sz="0" w:space="0" w:color="auto"/>
      </w:divBdr>
    </w:div>
    <w:div w:id="991299385">
      <w:bodyDiv w:val="1"/>
      <w:marLeft w:val="0"/>
      <w:marRight w:val="0"/>
      <w:marTop w:val="0"/>
      <w:marBottom w:val="0"/>
      <w:divBdr>
        <w:top w:val="none" w:sz="0" w:space="0" w:color="auto"/>
        <w:left w:val="none" w:sz="0" w:space="0" w:color="auto"/>
        <w:bottom w:val="none" w:sz="0" w:space="0" w:color="auto"/>
        <w:right w:val="none" w:sz="0" w:space="0" w:color="auto"/>
      </w:divBdr>
    </w:div>
    <w:div w:id="1000080581">
      <w:bodyDiv w:val="1"/>
      <w:marLeft w:val="0"/>
      <w:marRight w:val="0"/>
      <w:marTop w:val="0"/>
      <w:marBottom w:val="0"/>
      <w:divBdr>
        <w:top w:val="none" w:sz="0" w:space="0" w:color="auto"/>
        <w:left w:val="none" w:sz="0" w:space="0" w:color="auto"/>
        <w:bottom w:val="none" w:sz="0" w:space="0" w:color="auto"/>
        <w:right w:val="none" w:sz="0" w:space="0" w:color="auto"/>
      </w:divBdr>
    </w:div>
    <w:div w:id="1083574808">
      <w:bodyDiv w:val="1"/>
      <w:marLeft w:val="0"/>
      <w:marRight w:val="0"/>
      <w:marTop w:val="0"/>
      <w:marBottom w:val="0"/>
      <w:divBdr>
        <w:top w:val="none" w:sz="0" w:space="0" w:color="auto"/>
        <w:left w:val="none" w:sz="0" w:space="0" w:color="auto"/>
        <w:bottom w:val="none" w:sz="0" w:space="0" w:color="auto"/>
        <w:right w:val="none" w:sz="0" w:space="0" w:color="auto"/>
      </w:divBdr>
    </w:div>
    <w:div w:id="1095827888">
      <w:bodyDiv w:val="1"/>
      <w:marLeft w:val="0"/>
      <w:marRight w:val="0"/>
      <w:marTop w:val="0"/>
      <w:marBottom w:val="0"/>
      <w:divBdr>
        <w:top w:val="none" w:sz="0" w:space="0" w:color="auto"/>
        <w:left w:val="none" w:sz="0" w:space="0" w:color="auto"/>
        <w:bottom w:val="none" w:sz="0" w:space="0" w:color="auto"/>
        <w:right w:val="none" w:sz="0" w:space="0" w:color="auto"/>
      </w:divBdr>
    </w:div>
    <w:div w:id="1221357784">
      <w:bodyDiv w:val="1"/>
      <w:marLeft w:val="0"/>
      <w:marRight w:val="0"/>
      <w:marTop w:val="0"/>
      <w:marBottom w:val="0"/>
      <w:divBdr>
        <w:top w:val="none" w:sz="0" w:space="0" w:color="auto"/>
        <w:left w:val="none" w:sz="0" w:space="0" w:color="auto"/>
        <w:bottom w:val="none" w:sz="0" w:space="0" w:color="auto"/>
        <w:right w:val="none" w:sz="0" w:space="0" w:color="auto"/>
      </w:divBdr>
    </w:div>
    <w:div w:id="1271357082">
      <w:bodyDiv w:val="1"/>
      <w:marLeft w:val="0"/>
      <w:marRight w:val="0"/>
      <w:marTop w:val="0"/>
      <w:marBottom w:val="0"/>
      <w:divBdr>
        <w:top w:val="none" w:sz="0" w:space="0" w:color="auto"/>
        <w:left w:val="none" w:sz="0" w:space="0" w:color="auto"/>
        <w:bottom w:val="none" w:sz="0" w:space="0" w:color="auto"/>
        <w:right w:val="none" w:sz="0" w:space="0" w:color="auto"/>
      </w:divBdr>
    </w:div>
    <w:div w:id="1338381192">
      <w:bodyDiv w:val="1"/>
      <w:marLeft w:val="0"/>
      <w:marRight w:val="0"/>
      <w:marTop w:val="0"/>
      <w:marBottom w:val="0"/>
      <w:divBdr>
        <w:top w:val="none" w:sz="0" w:space="0" w:color="auto"/>
        <w:left w:val="none" w:sz="0" w:space="0" w:color="auto"/>
        <w:bottom w:val="none" w:sz="0" w:space="0" w:color="auto"/>
        <w:right w:val="none" w:sz="0" w:space="0" w:color="auto"/>
      </w:divBdr>
    </w:div>
    <w:div w:id="1375349879">
      <w:bodyDiv w:val="1"/>
      <w:marLeft w:val="0"/>
      <w:marRight w:val="0"/>
      <w:marTop w:val="0"/>
      <w:marBottom w:val="0"/>
      <w:divBdr>
        <w:top w:val="none" w:sz="0" w:space="0" w:color="auto"/>
        <w:left w:val="none" w:sz="0" w:space="0" w:color="auto"/>
        <w:bottom w:val="none" w:sz="0" w:space="0" w:color="auto"/>
        <w:right w:val="none" w:sz="0" w:space="0" w:color="auto"/>
      </w:divBdr>
    </w:div>
    <w:div w:id="1453670664">
      <w:bodyDiv w:val="1"/>
      <w:marLeft w:val="0"/>
      <w:marRight w:val="0"/>
      <w:marTop w:val="0"/>
      <w:marBottom w:val="0"/>
      <w:divBdr>
        <w:top w:val="none" w:sz="0" w:space="0" w:color="auto"/>
        <w:left w:val="none" w:sz="0" w:space="0" w:color="auto"/>
        <w:bottom w:val="none" w:sz="0" w:space="0" w:color="auto"/>
        <w:right w:val="none" w:sz="0" w:space="0" w:color="auto"/>
      </w:divBdr>
    </w:div>
    <w:div w:id="1543128292">
      <w:bodyDiv w:val="1"/>
      <w:marLeft w:val="0"/>
      <w:marRight w:val="0"/>
      <w:marTop w:val="0"/>
      <w:marBottom w:val="0"/>
      <w:divBdr>
        <w:top w:val="none" w:sz="0" w:space="0" w:color="auto"/>
        <w:left w:val="none" w:sz="0" w:space="0" w:color="auto"/>
        <w:bottom w:val="none" w:sz="0" w:space="0" w:color="auto"/>
        <w:right w:val="none" w:sz="0" w:space="0" w:color="auto"/>
      </w:divBdr>
    </w:div>
    <w:div w:id="1558316057">
      <w:bodyDiv w:val="1"/>
      <w:marLeft w:val="0"/>
      <w:marRight w:val="0"/>
      <w:marTop w:val="0"/>
      <w:marBottom w:val="0"/>
      <w:divBdr>
        <w:top w:val="none" w:sz="0" w:space="0" w:color="auto"/>
        <w:left w:val="none" w:sz="0" w:space="0" w:color="auto"/>
        <w:bottom w:val="none" w:sz="0" w:space="0" w:color="auto"/>
        <w:right w:val="none" w:sz="0" w:space="0" w:color="auto"/>
      </w:divBdr>
    </w:div>
    <w:div w:id="1578247994">
      <w:bodyDiv w:val="1"/>
      <w:marLeft w:val="0"/>
      <w:marRight w:val="0"/>
      <w:marTop w:val="0"/>
      <w:marBottom w:val="0"/>
      <w:divBdr>
        <w:top w:val="none" w:sz="0" w:space="0" w:color="auto"/>
        <w:left w:val="none" w:sz="0" w:space="0" w:color="auto"/>
        <w:bottom w:val="none" w:sz="0" w:space="0" w:color="auto"/>
        <w:right w:val="none" w:sz="0" w:space="0" w:color="auto"/>
      </w:divBdr>
    </w:div>
    <w:div w:id="1614628107">
      <w:bodyDiv w:val="1"/>
      <w:marLeft w:val="0"/>
      <w:marRight w:val="0"/>
      <w:marTop w:val="0"/>
      <w:marBottom w:val="0"/>
      <w:divBdr>
        <w:top w:val="none" w:sz="0" w:space="0" w:color="auto"/>
        <w:left w:val="none" w:sz="0" w:space="0" w:color="auto"/>
        <w:bottom w:val="none" w:sz="0" w:space="0" w:color="auto"/>
        <w:right w:val="none" w:sz="0" w:space="0" w:color="auto"/>
      </w:divBdr>
    </w:div>
    <w:div w:id="1654530872">
      <w:bodyDiv w:val="1"/>
      <w:marLeft w:val="0"/>
      <w:marRight w:val="0"/>
      <w:marTop w:val="0"/>
      <w:marBottom w:val="0"/>
      <w:divBdr>
        <w:top w:val="none" w:sz="0" w:space="0" w:color="auto"/>
        <w:left w:val="none" w:sz="0" w:space="0" w:color="auto"/>
        <w:bottom w:val="none" w:sz="0" w:space="0" w:color="auto"/>
        <w:right w:val="none" w:sz="0" w:space="0" w:color="auto"/>
      </w:divBdr>
    </w:div>
    <w:div w:id="1682512688">
      <w:bodyDiv w:val="1"/>
      <w:marLeft w:val="0"/>
      <w:marRight w:val="0"/>
      <w:marTop w:val="0"/>
      <w:marBottom w:val="0"/>
      <w:divBdr>
        <w:top w:val="none" w:sz="0" w:space="0" w:color="auto"/>
        <w:left w:val="none" w:sz="0" w:space="0" w:color="auto"/>
        <w:bottom w:val="none" w:sz="0" w:space="0" w:color="auto"/>
        <w:right w:val="none" w:sz="0" w:space="0" w:color="auto"/>
      </w:divBdr>
    </w:div>
    <w:div w:id="1788885014">
      <w:bodyDiv w:val="1"/>
      <w:marLeft w:val="0"/>
      <w:marRight w:val="0"/>
      <w:marTop w:val="0"/>
      <w:marBottom w:val="0"/>
      <w:divBdr>
        <w:top w:val="none" w:sz="0" w:space="0" w:color="auto"/>
        <w:left w:val="none" w:sz="0" w:space="0" w:color="auto"/>
        <w:bottom w:val="none" w:sz="0" w:space="0" w:color="auto"/>
        <w:right w:val="none" w:sz="0" w:space="0" w:color="auto"/>
      </w:divBdr>
    </w:div>
    <w:div w:id="1875969930">
      <w:bodyDiv w:val="1"/>
      <w:marLeft w:val="0"/>
      <w:marRight w:val="0"/>
      <w:marTop w:val="0"/>
      <w:marBottom w:val="0"/>
      <w:divBdr>
        <w:top w:val="none" w:sz="0" w:space="0" w:color="auto"/>
        <w:left w:val="none" w:sz="0" w:space="0" w:color="auto"/>
        <w:bottom w:val="none" w:sz="0" w:space="0" w:color="auto"/>
        <w:right w:val="none" w:sz="0" w:space="0" w:color="auto"/>
      </w:divBdr>
    </w:div>
    <w:div w:id="1932808501">
      <w:bodyDiv w:val="1"/>
      <w:marLeft w:val="0"/>
      <w:marRight w:val="0"/>
      <w:marTop w:val="0"/>
      <w:marBottom w:val="0"/>
      <w:divBdr>
        <w:top w:val="none" w:sz="0" w:space="0" w:color="auto"/>
        <w:left w:val="none" w:sz="0" w:space="0" w:color="auto"/>
        <w:bottom w:val="none" w:sz="0" w:space="0" w:color="auto"/>
        <w:right w:val="none" w:sz="0" w:space="0" w:color="auto"/>
      </w:divBdr>
    </w:div>
    <w:div w:id="1951156896">
      <w:bodyDiv w:val="1"/>
      <w:marLeft w:val="0"/>
      <w:marRight w:val="0"/>
      <w:marTop w:val="0"/>
      <w:marBottom w:val="0"/>
      <w:divBdr>
        <w:top w:val="none" w:sz="0" w:space="0" w:color="auto"/>
        <w:left w:val="none" w:sz="0" w:space="0" w:color="auto"/>
        <w:bottom w:val="none" w:sz="0" w:space="0" w:color="auto"/>
        <w:right w:val="none" w:sz="0" w:space="0" w:color="auto"/>
      </w:divBdr>
    </w:div>
    <w:div w:id="2018069796">
      <w:bodyDiv w:val="1"/>
      <w:marLeft w:val="0"/>
      <w:marRight w:val="0"/>
      <w:marTop w:val="0"/>
      <w:marBottom w:val="0"/>
      <w:divBdr>
        <w:top w:val="none" w:sz="0" w:space="0" w:color="auto"/>
        <w:left w:val="none" w:sz="0" w:space="0" w:color="auto"/>
        <w:bottom w:val="none" w:sz="0" w:space="0" w:color="auto"/>
        <w:right w:val="none" w:sz="0" w:space="0" w:color="auto"/>
      </w:divBdr>
    </w:div>
    <w:div w:id="2032603623">
      <w:bodyDiv w:val="1"/>
      <w:marLeft w:val="0"/>
      <w:marRight w:val="0"/>
      <w:marTop w:val="0"/>
      <w:marBottom w:val="0"/>
      <w:divBdr>
        <w:top w:val="none" w:sz="0" w:space="0" w:color="auto"/>
        <w:left w:val="none" w:sz="0" w:space="0" w:color="auto"/>
        <w:bottom w:val="none" w:sz="0" w:space="0" w:color="auto"/>
        <w:right w:val="none" w:sz="0" w:space="0" w:color="auto"/>
      </w:divBdr>
    </w:div>
    <w:div w:id="2034647914">
      <w:bodyDiv w:val="1"/>
      <w:marLeft w:val="0"/>
      <w:marRight w:val="0"/>
      <w:marTop w:val="0"/>
      <w:marBottom w:val="0"/>
      <w:divBdr>
        <w:top w:val="none" w:sz="0" w:space="0" w:color="auto"/>
        <w:left w:val="none" w:sz="0" w:space="0" w:color="auto"/>
        <w:bottom w:val="none" w:sz="0" w:space="0" w:color="auto"/>
        <w:right w:val="none" w:sz="0" w:space="0" w:color="auto"/>
      </w:divBdr>
    </w:div>
    <w:div w:id="2051953760">
      <w:bodyDiv w:val="1"/>
      <w:marLeft w:val="0"/>
      <w:marRight w:val="0"/>
      <w:marTop w:val="0"/>
      <w:marBottom w:val="0"/>
      <w:divBdr>
        <w:top w:val="none" w:sz="0" w:space="0" w:color="auto"/>
        <w:left w:val="none" w:sz="0" w:space="0" w:color="auto"/>
        <w:bottom w:val="none" w:sz="0" w:space="0" w:color="auto"/>
        <w:right w:val="none" w:sz="0" w:space="0" w:color="auto"/>
      </w:divBdr>
    </w:div>
    <w:div w:id="2074892824">
      <w:bodyDiv w:val="1"/>
      <w:marLeft w:val="0"/>
      <w:marRight w:val="0"/>
      <w:marTop w:val="0"/>
      <w:marBottom w:val="0"/>
      <w:divBdr>
        <w:top w:val="none" w:sz="0" w:space="0" w:color="auto"/>
        <w:left w:val="none" w:sz="0" w:space="0" w:color="auto"/>
        <w:bottom w:val="none" w:sz="0" w:space="0" w:color="auto"/>
        <w:right w:val="none" w:sz="0" w:space="0" w:color="auto"/>
      </w:divBdr>
    </w:div>
    <w:div w:id="213374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1612</Words>
  <Characters>10158</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Ebbinghaus, Hildegard</dc:creator>
  <cp:lastModifiedBy>Lüblinghoff, Martin</cp:lastModifiedBy>
  <cp:revision>13</cp:revision>
  <dcterms:created xsi:type="dcterms:W3CDTF">2026-07-30T08:14:00Z</dcterms:created>
  <dcterms:modified xsi:type="dcterms:W3CDTF">2026-08-06T11:40:00Z</dcterms:modified>
</cp:coreProperties>
</file>