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51020052</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Innensanierung Laborgebäude AC - Estricharbeiten</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51020052_300-11-01-Hg25</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Die Hochschule Osnabrück mit Standort an der Albrechtstraße saniert im Zuge der Baumaßnahme den Gebäudeteil AC, der aus den 1960er Jahren stammt.
Dieser diente hauptsächlich der Lehre in Form von Vorlesungsveranstaltungen in den Hörsälen, sowie der Forschung in Laboren und wurde von der Fakultät
Ingenieurwissenschaften und Informatik genutzt. Die Nutzung wird in der Form bestehen bleiben, ist jedoch aufgrund des Alters nicht mehr zeitgemäß und erfüllt
nicht mehr die gesetzlichen sowie sicherheitstechnische Anforderungen,
insbesondere an den Brandschutz und die Laborsicherheit.</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