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2A54F1" w:rsidRDefault="00F539AC" w:rsidP="00F539AC">
      <w:pPr>
        <w:pStyle w:val="Titel"/>
        <w:jc w:val="center"/>
        <w:rPr>
          <w:sz w:val="20"/>
          <w:szCs w:val="20"/>
        </w:rPr>
      </w:pPr>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 und 233 des Strafgesetzbuchs (Menschenhandel) oder § 233a des Strafgesetzbuchs (Förderung des Menschenhandels),</w:t>
      </w:r>
    </w:p>
    <w:p w:rsidR="00C4284A" w:rsidRDefault="00C4284A" w:rsidP="00D86880">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D86880" w:rsidRPr="00D86880" w:rsidRDefault="00D86880" w:rsidP="00D86880">
      <w:pPr>
        <w:pStyle w:val="RevisionJuristischerAbsatz"/>
        <w:numPr>
          <w:ilvl w:val="0"/>
          <w:numId w:val="0"/>
        </w:numPr>
        <w:ind w:left="709"/>
        <w:rPr>
          <w:color w:val="auto"/>
          <w:sz w:val="20"/>
          <w:szCs w:val="20"/>
        </w:rPr>
      </w:pPr>
    </w:p>
    <w:p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 xml:space="preserve">zahlungsunfähig ist, über das Vermögen des Unternehmens kein Insolvenzverfahren oder kein vergleichbares Verfahren beantragt oder eröffnet worden ist, die Eröffnung eines solchen </w:t>
      </w:r>
      <w:r w:rsidRPr="0008716D">
        <w:rPr>
          <w:color w:val="auto"/>
          <w:sz w:val="20"/>
          <w:szCs w:val="20"/>
        </w:rPr>
        <w:lastRenderedPageBreak/>
        <w:t>Verfahrens mangels Masse nicht abgelehnt worden ist, sich das Unternehmen nicht im Verfahren der Liquidation befindet oder seine Tätigkeit eingestellt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rsidR="000F56D4" w:rsidRDefault="000F56D4" w:rsidP="00083621">
      <w:pPr>
        <w:ind w:firstLine="0"/>
      </w:pPr>
    </w:p>
    <w:p w:rsidR="00083621" w:rsidRPr="00AA232C" w:rsidRDefault="00083621" w:rsidP="00D83F92">
      <w:pPr>
        <w:pStyle w:val="Listenabsatz"/>
        <w:numPr>
          <w:ilvl w:val="0"/>
          <w:numId w:val="21"/>
        </w:numPr>
        <w:ind w:left="426" w:hanging="425"/>
        <w:jc w:val="both"/>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D83F92">
      <w:pPr>
        <w:ind w:left="426"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4A4F2B">
        <w:rPr>
          <w:rStyle w:val="Endnotenzeichen"/>
        </w:rPr>
        <w:endnoteReference w:id="1"/>
      </w:r>
      <w:r w:rsidR="004A4F2B" w:rsidRPr="00AA232C">
        <w:t xml:space="preserve"> oder zu einem Eintrag in das Vergaberegister</w:t>
      </w:r>
      <w:r w:rsidR="004A4F2B">
        <w:rPr>
          <w:rStyle w:val="Endnotenzeichen"/>
        </w:rPr>
        <w:endnoteReference w:id="2"/>
      </w:r>
      <w:r w:rsidR="004A4F2B" w:rsidRPr="00AA232C">
        <w:t xml:space="preserve"> </w:t>
      </w:r>
      <w:r w:rsidRPr="00AA232C">
        <w:t xml:space="preserve">führen könnten. </w:t>
      </w:r>
    </w:p>
    <w:p w:rsidR="0008716D" w:rsidRDefault="00083621" w:rsidP="00D83F92">
      <w:pPr>
        <w:ind w:left="426"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jc w:val="center"/>
              <w:rPr>
                <w:rFonts w:cs="Arial"/>
              </w:rPr>
            </w:pPr>
          </w:p>
          <w:p w:rsidR="00424103" w:rsidRDefault="00424103" w:rsidP="00F77137">
            <w:pPr>
              <w:ind w:left="851"/>
              <w:jc w:val="center"/>
              <w:rPr>
                <w:rFonts w:cs="Arial"/>
              </w:rPr>
            </w:pPr>
          </w:p>
          <w:p w:rsidR="00424103" w:rsidRDefault="00424103" w:rsidP="00F77137">
            <w:pPr>
              <w:ind w:left="851"/>
              <w:jc w:val="center"/>
              <w:rPr>
                <w:rFonts w:cs="Arial"/>
              </w:rPr>
            </w:pPr>
          </w:p>
          <w:p w:rsidR="00424103" w:rsidRPr="00B0146D" w:rsidRDefault="00424103"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D86880">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FC" w:rsidRDefault="00293EFC" w:rsidP="00B3223D">
      <w:pPr>
        <w:spacing w:after="0" w:line="240" w:lineRule="auto"/>
      </w:pPr>
      <w:r>
        <w:separator/>
      </w:r>
    </w:p>
  </w:endnote>
  <w:endnote w:type="continuationSeparator" w:id="0">
    <w:p w:rsidR="00293EFC" w:rsidRDefault="00293EFC" w:rsidP="00B3223D">
      <w:pPr>
        <w:spacing w:after="0" w:line="240" w:lineRule="auto"/>
      </w:pPr>
      <w:r>
        <w:continuationSeparator/>
      </w:r>
    </w:p>
  </w:endnote>
  <w:endnote w:id="1">
    <w:p w:rsidR="004A4F2B" w:rsidRPr="00597BDF" w:rsidRDefault="004A4F2B" w:rsidP="003117A6">
      <w:pPr>
        <w:ind w:firstLine="0"/>
        <w:rPr>
          <w:i/>
          <w:sz w:val="16"/>
          <w:szCs w:val="16"/>
        </w:rPr>
      </w:pPr>
      <w:r w:rsidRPr="003117A6">
        <w:rPr>
          <w:sz w:val="16"/>
          <w:szCs w:val="16"/>
        </w:rPr>
        <w:endnoteRef/>
      </w:r>
      <w:r w:rsidRPr="003117A6">
        <w:rPr>
          <w:sz w:val="16"/>
          <w:szCs w:val="16"/>
        </w:rPr>
        <w:t xml:space="preserve"> </w:t>
      </w:r>
      <w:r w:rsidRPr="00597BDF">
        <w:rPr>
          <w:sz w:val="16"/>
          <w:szCs w:val="16"/>
        </w:rPr>
        <w:t xml:space="preserve">Verfehlungen, die in der Regel zum Ausschluss des Bewerbers oder Bieters von der Teilnahme am Vergabeverfahren führen, sind – unabhängig von der Beteiligungsform, bei Unternehmen auch unabhängig von der Funktion des Täters oder Beteiligten – </w:t>
      </w:r>
      <w:r w:rsidRPr="008149B9">
        <w:rPr>
          <w:sz w:val="16"/>
          <w:szCs w:val="16"/>
        </w:rPr>
        <w:t>insbesondere</w:t>
      </w:r>
      <w:r w:rsidR="008149B9" w:rsidRPr="008149B9">
        <w:rPr>
          <w:sz w:val="16"/>
          <w:szCs w:val="16"/>
        </w:rPr>
        <w:t>.</w:t>
      </w:r>
    </w:p>
    <w:p w:rsidR="004A4F2B" w:rsidRPr="00597BDF" w:rsidRDefault="004A4F2B" w:rsidP="003117A6">
      <w:pPr>
        <w:numPr>
          <w:ilvl w:val="0"/>
          <w:numId w:val="20"/>
        </w:numPr>
        <w:ind w:left="284" w:hanging="284"/>
        <w:rPr>
          <w:sz w:val="16"/>
          <w:szCs w:val="16"/>
        </w:rPr>
      </w:pPr>
      <w:r w:rsidRPr="00597BDF">
        <w:rPr>
          <w:sz w:val="16"/>
          <w:szCs w:val="16"/>
        </w:rPr>
        <w:t>Straftaten, die im Geschäftsverkehr oder in Bezug auf d</w:t>
      </w:r>
      <w:r>
        <w:rPr>
          <w:sz w:val="16"/>
          <w:szCs w:val="16"/>
        </w:rPr>
        <w:t xml:space="preserve">iesen begangen worden sind, </w:t>
      </w:r>
      <w:r w:rsidRPr="00597BDF">
        <w:rPr>
          <w:sz w:val="16"/>
          <w:szCs w:val="16"/>
        </w:rPr>
        <w:t>u.</w:t>
      </w:r>
      <w:r w:rsidR="00DC144C">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4A4F2B" w:rsidRPr="00597BDF" w:rsidRDefault="004A4F2B" w:rsidP="003117A6">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4A4F2B" w:rsidRPr="00597BDF" w:rsidRDefault="004A4F2B" w:rsidP="003117A6">
      <w:pPr>
        <w:numPr>
          <w:ilvl w:val="0"/>
          <w:numId w:val="20"/>
        </w:numPr>
        <w:ind w:left="284" w:hanging="284"/>
        <w:rPr>
          <w:sz w:val="16"/>
          <w:szCs w:val="16"/>
        </w:rPr>
      </w:pPr>
      <w:r w:rsidRPr="00597BDF">
        <w:rPr>
          <w:sz w:val="16"/>
          <w:szCs w:val="16"/>
        </w:rPr>
        <w:t>Verstöße gegen das Gesetz gegen Wettbewerbsbeschränkungen, u.</w:t>
      </w:r>
      <w:r w:rsidR="00DC144C">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4A4F2B" w:rsidRPr="003117A6" w:rsidRDefault="004A4F2B" w:rsidP="003117A6">
      <w:pPr>
        <w:pStyle w:val="RevisionJuristischerAbsatz"/>
        <w:numPr>
          <w:ilvl w:val="0"/>
          <w:numId w:val="0"/>
        </w:numPr>
        <w:ind w:left="425"/>
        <w:rPr>
          <w:color w:val="auto"/>
          <w:sz w:val="16"/>
          <w:szCs w:val="16"/>
        </w:rPr>
      </w:pPr>
    </w:p>
  </w:endnote>
  <w:endnote w:id="2">
    <w:p w:rsidR="004A4F2B" w:rsidRPr="00597BDF" w:rsidRDefault="004A4F2B" w:rsidP="003117A6">
      <w:pPr>
        <w:tabs>
          <w:tab w:val="left" w:pos="142"/>
        </w:tabs>
        <w:ind w:left="142" w:hanging="142"/>
        <w:rPr>
          <w:sz w:val="16"/>
          <w:szCs w:val="16"/>
        </w:rPr>
      </w:pPr>
      <w:r w:rsidRPr="003117A6">
        <w:rPr>
          <w:sz w:val="16"/>
          <w:szCs w:val="16"/>
        </w:rPr>
        <w:endnoteRef/>
      </w:r>
      <w:r w:rsidRPr="003117A6">
        <w:rPr>
          <w:sz w:val="16"/>
          <w:szCs w:val="16"/>
        </w:rPr>
        <w:t xml:space="preserve"> </w:t>
      </w:r>
      <w:r w:rsidRPr="00597BDF">
        <w:rPr>
          <w:sz w:val="16"/>
          <w:szCs w:val="16"/>
        </w:rPr>
        <w:t>Ein Eintrag in das Vergaberegister kann unabhängig von einem Vergabeausschluss auch erfolgen, wenn die Voraussetzungen des</w:t>
      </w:r>
      <w:r w:rsidR="00DC144C">
        <w:rPr>
          <w:sz w:val="16"/>
          <w:szCs w:val="16"/>
        </w:rPr>
        <w:t xml:space="preserve"> § </w:t>
      </w:r>
      <w:r w:rsidRPr="00597BDF">
        <w:rPr>
          <w:sz w:val="16"/>
          <w:szCs w:val="16"/>
        </w:rPr>
        <w:t xml:space="preserve">5 des Gesetzes zur Verbesserung der Korruptionsbekämpfung und zur Errichtung und Führung eines Vergaberegisters in Nordrhein-Westfalen (Korruptionsbekämpfungsgesetz - </w:t>
      </w:r>
      <w:proofErr w:type="spellStart"/>
      <w:r w:rsidRPr="00597BDF">
        <w:rPr>
          <w:sz w:val="16"/>
          <w:szCs w:val="16"/>
        </w:rPr>
        <w:t>KorruptionsbG</w:t>
      </w:r>
      <w:proofErr w:type="spellEnd"/>
      <w:r w:rsidRPr="00597BDF">
        <w:rPr>
          <w:sz w:val="16"/>
          <w:szCs w:val="16"/>
        </w:rPr>
        <w:t>) vorliegen. Danach liegt eine Verfehlung vor, wenn durch eine natürliche Person im Rahmen einer unternehmerischen Betätigung</w:t>
      </w:r>
    </w:p>
    <w:p w:rsidR="004A4F2B" w:rsidRPr="00597BDF" w:rsidRDefault="004A4F2B" w:rsidP="003117A6">
      <w:pPr>
        <w:ind w:left="426" w:hanging="284"/>
        <w:rPr>
          <w:sz w:val="16"/>
          <w:szCs w:val="16"/>
        </w:rPr>
      </w:pPr>
      <w:r>
        <w:rPr>
          <w:sz w:val="16"/>
          <w:szCs w:val="16"/>
        </w:rPr>
        <w:t>1.</w:t>
      </w:r>
      <w:r>
        <w:rPr>
          <w:sz w:val="16"/>
          <w:szCs w:val="16"/>
        </w:rPr>
        <w:tab/>
      </w:r>
      <w:r w:rsidR="00DC144C">
        <w:rPr>
          <w:sz w:val="16"/>
          <w:szCs w:val="16"/>
        </w:rPr>
        <w:t>Straftaten nach §§ </w:t>
      </w:r>
      <w:r w:rsidRPr="00597BDF">
        <w:rPr>
          <w:sz w:val="16"/>
          <w:szCs w:val="16"/>
        </w:rPr>
        <w:t>331-335 (Vorteilsannahme, Bestechlichkeit, Vorteilsgewährung, Bestechung), 261 (Geldwäsche, Verschleierung unrechtmäßig erlangter Vermögenswerte), 263 (Betrug), 264 (Subventionsbetr</w:t>
      </w:r>
      <w:r w:rsidR="00DC144C">
        <w:rPr>
          <w:sz w:val="16"/>
          <w:szCs w:val="16"/>
        </w:rPr>
        <w:t>ug), 265</w:t>
      </w:r>
      <w:r w:rsidRPr="00597BDF">
        <w:rPr>
          <w:sz w:val="16"/>
          <w:szCs w:val="16"/>
        </w:rPr>
        <w:t>b (Kr</w:t>
      </w:r>
      <w:r w:rsidR="00DC144C">
        <w:rPr>
          <w:sz w:val="16"/>
          <w:szCs w:val="16"/>
        </w:rPr>
        <w:t>editbetrug), 266 (Untreue), 266</w:t>
      </w:r>
      <w:r w:rsidRPr="00597BDF">
        <w:rPr>
          <w:sz w:val="16"/>
          <w:szCs w:val="16"/>
        </w:rPr>
        <w:t xml:space="preserve">a (Vorenthalten und Veruntreuen von Arbeitsentgelt), 298 (Wettbewerbsbeschränkende Absprachen bei Ausschreibungen), 299 (Bestechlichkeit und Bestechung im geschäftlichen Verkehr), 108e (Abgeordnetenbestechung) </w:t>
      </w:r>
      <w:r w:rsidR="00DC144C">
        <w:rPr>
          <w:sz w:val="16"/>
          <w:szCs w:val="16"/>
        </w:rPr>
        <w:t>StGB und nach § </w:t>
      </w:r>
      <w:r w:rsidRPr="00597BDF">
        <w:rPr>
          <w:sz w:val="16"/>
          <w:szCs w:val="16"/>
        </w:rPr>
        <w:t xml:space="preserve">370 der Abgabenordnung, </w:t>
      </w:r>
    </w:p>
    <w:p w:rsidR="004A4F2B" w:rsidRPr="00597BDF" w:rsidRDefault="004A4F2B" w:rsidP="003117A6">
      <w:pPr>
        <w:ind w:left="426" w:hanging="284"/>
        <w:rPr>
          <w:sz w:val="16"/>
          <w:szCs w:val="16"/>
        </w:rPr>
      </w:pPr>
      <w:r>
        <w:rPr>
          <w:sz w:val="16"/>
          <w:szCs w:val="16"/>
        </w:rPr>
        <w:t>2.</w:t>
      </w:r>
      <w:r>
        <w:rPr>
          <w:sz w:val="16"/>
          <w:szCs w:val="16"/>
        </w:rPr>
        <w:tab/>
        <w:t xml:space="preserve"> </w:t>
      </w:r>
      <w:r w:rsidR="00DC144C">
        <w:rPr>
          <w:sz w:val="16"/>
          <w:szCs w:val="16"/>
        </w:rPr>
        <w:t>nach §§ 19, 20, 20</w:t>
      </w:r>
      <w:r w:rsidRPr="00597BDF">
        <w:rPr>
          <w:sz w:val="16"/>
          <w:szCs w:val="16"/>
        </w:rPr>
        <w:t>a und 22 des Gesetzes über die Kontrolle von Kriegswaffen,</w:t>
      </w:r>
    </w:p>
    <w:p w:rsidR="004A4F2B" w:rsidRPr="00597BDF" w:rsidRDefault="004A4F2B" w:rsidP="003117A6">
      <w:pPr>
        <w:tabs>
          <w:tab w:val="left" w:pos="426"/>
        </w:tabs>
        <w:ind w:left="142" w:firstLine="0"/>
        <w:rPr>
          <w:sz w:val="16"/>
          <w:szCs w:val="16"/>
        </w:rPr>
      </w:pPr>
      <w:r>
        <w:rPr>
          <w:sz w:val="16"/>
          <w:szCs w:val="16"/>
        </w:rPr>
        <w:t xml:space="preserve">3. </w:t>
      </w:r>
      <w:r>
        <w:rPr>
          <w:sz w:val="16"/>
          <w:szCs w:val="16"/>
        </w:rPr>
        <w:tab/>
      </w:r>
      <w:r w:rsidR="00DC144C">
        <w:rPr>
          <w:sz w:val="16"/>
          <w:szCs w:val="16"/>
        </w:rPr>
        <w:t>Verstöße gegen § </w:t>
      </w:r>
      <w:r w:rsidRPr="00597BDF">
        <w:rPr>
          <w:sz w:val="16"/>
          <w:szCs w:val="16"/>
        </w:rPr>
        <w:t>81 des Gesetzes gegen Wettbewerbsbeschränkungen (GWB),</w:t>
      </w:r>
    </w:p>
    <w:p w:rsidR="004A4F2B" w:rsidRPr="00597BDF" w:rsidRDefault="004A4F2B" w:rsidP="003117A6">
      <w:pPr>
        <w:tabs>
          <w:tab w:val="left" w:pos="426"/>
        </w:tabs>
        <w:ind w:left="142" w:firstLine="0"/>
        <w:rPr>
          <w:sz w:val="16"/>
          <w:szCs w:val="16"/>
        </w:rPr>
      </w:pPr>
      <w:r>
        <w:rPr>
          <w:sz w:val="16"/>
          <w:szCs w:val="16"/>
        </w:rPr>
        <w:t xml:space="preserve">4. </w:t>
      </w:r>
      <w:r>
        <w:rPr>
          <w:sz w:val="16"/>
          <w:szCs w:val="16"/>
        </w:rPr>
        <w:tab/>
      </w:r>
      <w:r w:rsidR="00DC144C">
        <w:rPr>
          <w:sz w:val="16"/>
          <w:szCs w:val="16"/>
        </w:rPr>
        <w:t>Verstöße gegen § </w:t>
      </w:r>
      <w:r w:rsidRPr="00597BDF">
        <w:rPr>
          <w:sz w:val="16"/>
          <w:szCs w:val="16"/>
        </w:rPr>
        <w:t>16 des Arbeitnehmerüberlassungsgesetzes,</w:t>
      </w:r>
    </w:p>
    <w:p w:rsidR="004A4F2B" w:rsidRPr="00597BDF" w:rsidRDefault="004A4F2B" w:rsidP="003117A6">
      <w:pPr>
        <w:tabs>
          <w:tab w:val="left" w:pos="426"/>
        </w:tabs>
        <w:ind w:left="426" w:hanging="284"/>
        <w:rPr>
          <w:sz w:val="16"/>
          <w:szCs w:val="16"/>
        </w:rPr>
      </w:pPr>
      <w:r w:rsidRPr="00597BDF">
        <w:rPr>
          <w:sz w:val="16"/>
          <w:szCs w:val="16"/>
        </w:rPr>
        <w:t>5.</w:t>
      </w:r>
      <w:r>
        <w:rPr>
          <w:sz w:val="16"/>
          <w:szCs w:val="16"/>
        </w:rPr>
        <w:tab/>
      </w:r>
      <w:r w:rsidRPr="00597BDF">
        <w:rPr>
          <w:sz w:val="16"/>
          <w:szCs w:val="16"/>
        </w:rPr>
        <w:t>Verstöße,</w:t>
      </w:r>
      <w:r w:rsidR="00DC144C">
        <w:rPr>
          <w:sz w:val="16"/>
          <w:szCs w:val="16"/>
        </w:rPr>
        <w:t xml:space="preserve"> die zu einem Ausschluss nach § </w:t>
      </w:r>
      <w:r w:rsidRPr="00597BDF">
        <w:rPr>
          <w:sz w:val="16"/>
          <w:szCs w:val="16"/>
        </w:rPr>
        <w:t>21 des Gesetzes zur Bekämpfung der Schwarzarbeit und illegalen Beschäftigung (Schwarzarbeitsbekämpfungsge</w:t>
      </w:r>
      <w:r w:rsidR="00DC144C">
        <w:rPr>
          <w:sz w:val="16"/>
          <w:szCs w:val="16"/>
        </w:rPr>
        <w:t xml:space="preserve">setz - </w:t>
      </w:r>
      <w:proofErr w:type="spellStart"/>
      <w:r w:rsidR="00DC144C">
        <w:rPr>
          <w:sz w:val="16"/>
          <w:szCs w:val="16"/>
        </w:rPr>
        <w:t>SchwarzArbG</w:t>
      </w:r>
      <w:proofErr w:type="spellEnd"/>
      <w:r w:rsidR="00DC144C">
        <w:rPr>
          <w:sz w:val="16"/>
          <w:szCs w:val="16"/>
        </w:rPr>
        <w:t>) oder nach § </w:t>
      </w:r>
      <w:r w:rsidRPr="00597BDF">
        <w:rPr>
          <w:sz w:val="16"/>
          <w:szCs w:val="16"/>
        </w:rPr>
        <w:t>21 Arbeitnehmer-Entsendegesetz führen können oder geführt haben</w:t>
      </w:r>
    </w:p>
    <w:p w:rsidR="004A4F2B" w:rsidRPr="00597BDF" w:rsidRDefault="004A4F2B" w:rsidP="003117A6">
      <w:pPr>
        <w:ind w:left="142" w:firstLine="0"/>
        <w:rPr>
          <w:sz w:val="16"/>
          <w:szCs w:val="16"/>
        </w:rPr>
      </w:pPr>
      <w:r w:rsidRPr="00597BDF">
        <w:rPr>
          <w:sz w:val="16"/>
          <w:szCs w:val="16"/>
        </w:rPr>
        <w:t>von Bedeutung, insbesondere in Bezug auf</w:t>
      </w:r>
      <w:r w:rsidR="00781A53">
        <w:rPr>
          <w:sz w:val="16"/>
          <w:szCs w:val="16"/>
        </w:rPr>
        <w:t xml:space="preserve"> die Art und Weise der Begehung</w:t>
      </w:r>
      <w:r w:rsidRPr="00597BDF">
        <w:rPr>
          <w:sz w:val="16"/>
          <w:szCs w:val="16"/>
        </w:rPr>
        <w:t xml:space="preserve"> oder den Umfang des materiellen oder immateriellen Schadens, begangen worden sind.</w:t>
      </w:r>
    </w:p>
    <w:p w:rsidR="004A4F2B" w:rsidRPr="008149B9" w:rsidRDefault="004A4F2B" w:rsidP="003117A6">
      <w:pPr>
        <w:ind w:left="142" w:firstLine="0"/>
        <w:rPr>
          <w:sz w:val="16"/>
          <w:szCs w:val="16"/>
        </w:rPr>
      </w:pPr>
      <w:r w:rsidRPr="008149B9">
        <w:rPr>
          <w:sz w:val="16"/>
          <w:szCs w:val="16"/>
        </w:rPr>
        <w:t xml:space="preserve">Ein Eintrag erfolgt </w:t>
      </w:r>
      <w:r w:rsidR="00DC144C" w:rsidRPr="008149B9">
        <w:rPr>
          <w:sz w:val="16"/>
          <w:szCs w:val="16"/>
        </w:rPr>
        <w:t xml:space="preserve">bei einer Verfehlung im Sinne </w:t>
      </w:r>
      <w:r w:rsidR="0058289C" w:rsidRPr="008149B9">
        <w:rPr>
          <w:sz w:val="16"/>
          <w:szCs w:val="16"/>
        </w:rPr>
        <w:t xml:space="preserve">von </w:t>
      </w:r>
      <w:r w:rsidR="00DC144C" w:rsidRPr="008149B9">
        <w:rPr>
          <w:sz w:val="16"/>
          <w:szCs w:val="16"/>
        </w:rPr>
        <w:t>§ 5 Abs. 1 Nr. </w:t>
      </w:r>
      <w:r w:rsidR="008149B9" w:rsidRPr="008149B9">
        <w:rPr>
          <w:sz w:val="16"/>
          <w:szCs w:val="16"/>
        </w:rPr>
        <w:t xml:space="preserve">1-5 </w:t>
      </w:r>
      <w:proofErr w:type="spellStart"/>
      <w:r w:rsidR="008149B9" w:rsidRPr="008149B9">
        <w:rPr>
          <w:sz w:val="16"/>
          <w:szCs w:val="16"/>
        </w:rPr>
        <w:t>KorruptionsbG</w:t>
      </w:r>
      <w:proofErr w:type="spellEnd"/>
    </w:p>
    <w:p w:rsidR="004A4F2B" w:rsidRPr="00597BDF" w:rsidRDefault="004A4F2B" w:rsidP="003117A6">
      <w:pPr>
        <w:ind w:left="426" w:hanging="284"/>
        <w:rPr>
          <w:sz w:val="16"/>
          <w:szCs w:val="16"/>
        </w:rPr>
      </w:pPr>
      <w:r w:rsidRPr="00597BDF">
        <w:rPr>
          <w:sz w:val="16"/>
          <w:szCs w:val="16"/>
        </w:rPr>
        <w:t>1.</w:t>
      </w:r>
      <w:r w:rsidRPr="00597BDF">
        <w:rPr>
          <w:sz w:val="16"/>
          <w:szCs w:val="16"/>
        </w:rPr>
        <w:tab/>
        <w:t>bei Zulassung der Anklage</w:t>
      </w:r>
    </w:p>
    <w:p w:rsidR="004A4F2B" w:rsidRPr="00597BDF" w:rsidRDefault="004A4F2B" w:rsidP="003117A6">
      <w:pPr>
        <w:ind w:left="426" w:hanging="284"/>
        <w:rPr>
          <w:sz w:val="16"/>
          <w:szCs w:val="16"/>
        </w:rPr>
      </w:pPr>
      <w:r w:rsidRPr="00597BDF">
        <w:rPr>
          <w:sz w:val="16"/>
          <w:szCs w:val="16"/>
        </w:rPr>
        <w:t>2.</w:t>
      </w:r>
      <w:r w:rsidRPr="00597BDF">
        <w:rPr>
          <w:sz w:val="16"/>
          <w:szCs w:val="16"/>
        </w:rPr>
        <w:tab/>
        <w:t>bei strafrechtlicher Verurteilung</w:t>
      </w:r>
    </w:p>
    <w:p w:rsidR="004A4F2B" w:rsidRPr="00597BDF" w:rsidRDefault="004A4F2B" w:rsidP="003117A6">
      <w:pPr>
        <w:ind w:left="426" w:hanging="284"/>
        <w:rPr>
          <w:sz w:val="16"/>
          <w:szCs w:val="16"/>
        </w:rPr>
      </w:pPr>
      <w:r w:rsidRPr="00597BDF">
        <w:rPr>
          <w:sz w:val="16"/>
          <w:szCs w:val="16"/>
        </w:rPr>
        <w:t>3.</w:t>
      </w:r>
      <w:r w:rsidRPr="00597BDF">
        <w:rPr>
          <w:sz w:val="16"/>
          <w:szCs w:val="16"/>
        </w:rPr>
        <w:tab/>
        <w:t>bei Erlass eines Strafbefehls</w:t>
      </w:r>
    </w:p>
    <w:p w:rsidR="004A4F2B" w:rsidRPr="00597BDF" w:rsidRDefault="004A4F2B" w:rsidP="003117A6">
      <w:pPr>
        <w:ind w:left="426" w:hanging="284"/>
        <w:rPr>
          <w:sz w:val="16"/>
          <w:szCs w:val="16"/>
        </w:rPr>
      </w:pPr>
      <w:r w:rsidRPr="00597BDF">
        <w:rPr>
          <w:sz w:val="16"/>
          <w:szCs w:val="16"/>
        </w:rPr>
        <w:t>4.</w:t>
      </w:r>
      <w:r w:rsidRPr="00597BDF">
        <w:rPr>
          <w:sz w:val="16"/>
          <w:szCs w:val="16"/>
        </w:rPr>
        <w:tab/>
        <w:t>bei Einstellung des Strafver</w:t>
      </w:r>
      <w:r w:rsidR="00DC144C">
        <w:rPr>
          <w:sz w:val="16"/>
          <w:szCs w:val="16"/>
        </w:rPr>
        <w:t>fahrens nach § 153</w:t>
      </w:r>
      <w:r w:rsidRPr="00597BDF">
        <w:rPr>
          <w:sz w:val="16"/>
          <w:szCs w:val="16"/>
        </w:rPr>
        <w:t>a Strafprozessordnung (StPO)</w:t>
      </w:r>
    </w:p>
    <w:p w:rsidR="004A4F2B" w:rsidRPr="00597BDF" w:rsidRDefault="004A4F2B" w:rsidP="003117A6">
      <w:pPr>
        <w:ind w:left="426" w:hanging="284"/>
        <w:rPr>
          <w:sz w:val="16"/>
          <w:szCs w:val="16"/>
        </w:rPr>
      </w:pPr>
      <w:r w:rsidRPr="00597BDF">
        <w:rPr>
          <w:sz w:val="16"/>
          <w:szCs w:val="16"/>
        </w:rPr>
        <w:t>5.</w:t>
      </w:r>
      <w:r w:rsidRPr="00597BDF">
        <w:rPr>
          <w:sz w:val="16"/>
          <w:szCs w:val="16"/>
        </w:rPr>
        <w:tab/>
        <w:t xml:space="preserve">nach Rechtskraft eines Bußgeldbescheids </w:t>
      </w:r>
    </w:p>
    <w:p w:rsidR="004A4F2B" w:rsidRDefault="004A4F2B" w:rsidP="003117A6">
      <w:pPr>
        <w:ind w:left="426" w:hanging="284"/>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80" w:rsidRDefault="00D868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2B" w:rsidRDefault="00E223FA" w:rsidP="00E223FA">
    <w:pPr>
      <w:pStyle w:val="Fuzeile"/>
      <w:tabs>
        <w:tab w:val="clear" w:pos="9072"/>
        <w:tab w:val="right" w:pos="9354"/>
      </w:tabs>
      <w:ind w:firstLine="0"/>
      <w:jc w:val="left"/>
    </w:pPr>
    <w:r>
      <w:tab/>
    </w:r>
    <w:r w:rsidR="00B26D6F">
      <w:t xml:space="preserve">Seite </w:t>
    </w:r>
    <w:sdt>
      <w:sdtPr>
        <w:id w:val="-981072890"/>
        <w:docPartObj>
          <w:docPartGallery w:val="Page Numbers (Bottom of Page)"/>
          <w:docPartUnique/>
        </w:docPartObj>
      </w:sdtPr>
      <w:sdtEndPr/>
      <w:sdtContent>
        <w:r w:rsidR="004A4F2B">
          <w:fldChar w:fldCharType="begin"/>
        </w:r>
        <w:r w:rsidR="004A4F2B">
          <w:instrText>PAGE   \* MERGEFORMAT</w:instrText>
        </w:r>
        <w:r w:rsidR="004A4F2B">
          <w:fldChar w:fldCharType="separate"/>
        </w:r>
        <w:r w:rsidR="00B26D6F">
          <w:rPr>
            <w:noProof/>
          </w:rPr>
          <w:t>2</w:t>
        </w:r>
        <w:r w:rsidR="004A4F2B">
          <w:fldChar w:fldCharType="end"/>
        </w:r>
        <w:r w:rsidR="00B26D6F">
          <w:t xml:space="preserve"> von </w:t>
        </w:r>
        <w:fldSimple w:instr=" NUMPAGES   \* MERGEFORMAT ">
          <w:r w:rsidR="00B26D6F">
            <w:rPr>
              <w:noProof/>
            </w:rPr>
            <w:t>3</w:t>
          </w:r>
        </w:fldSimple>
        <w:bookmarkStart w:id="0" w:name="_GoBack"/>
        <w:bookmarkEnd w:id="0"/>
      </w:sdtContent>
    </w:sdt>
  </w:p>
  <w:p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BD1" w:rsidRDefault="00D86880" w:rsidP="00D86880">
    <w:pPr>
      <w:pStyle w:val="Fuzeile"/>
      <w:ind w:firstLine="0"/>
    </w:pPr>
    <w:r>
      <w:t>Stand: 01.01.2025</w:t>
    </w:r>
    <w:r w:rsidRPr="00DD2BD1">
      <w:t xml:space="preserve"> (inhaltlich i</w:t>
    </w:r>
    <w:r>
      <w:t>dentisch mit VHB NRW Formular 52</w:t>
    </w:r>
    <w:r w:rsidRPr="00DD2BD1">
      <w:t>1)</w:t>
    </w:r>
    <w:r w:rsidRPr="00D86880">
      <w:rPr>
        <w:noProof/>
      </w:rPr>
      <w:t xml:space="preserve"> </w:t>
    </w:r>
    <w:r w:rsidRPr="008F0218">
      <w:rPr>
        <w:noProof/>
        <w:lang w:eastAsia="de-DE"/>
      </w:rPr>
      <w:drawing>
        <wp:anchor distT="0" distB="0" distL="114300" distR="114300" simplePos="0" relativeHeight="251659264" behindDoc="0" locked="1" layoutInCell="1" allowOverlap="1" wp14:anchorId="11105C85" wp14:editId="3BBA0686">
          <wp:simplePos x="0" y="0"/>
          <wp:positionH relativeFrom="page">
            <wp:posOffset>5400675</wp:posOffset>
          </wp:positionH>
          <wp:positionV relativeFrom="page">
            <wp:posOffset>9714230</wp:posOffset>
          </wp:positionV>
          <wp:extent cx="1800000" cy="6912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9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FC" w:rsidRDefault="00293EFC" w:rsidP="00B3223D">
      <w:pPr>
        <w:spacing w:after="0" w:line="240" w:lineRule="auto"/>
      </w:pPr>
      <w:r>
        <w:separator/>
      </w:r>
    </w:p>
  </w:footnote>
  <w:footnote w:type="continuationSeparator" w:id="0">
    <w:p w:rsidR="00293EFC" w:rsidRDefault="00293EFC"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80" w:rsidRDefault="00D868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FA" w:rsidRPr="006B759E" w:rsidRDefault="00E223FA" w:rsidP="00E223FA">
    <w:pPr>
      <w:pStyle w:val="Kopfzeileoben"/>
      <w:pBdr>
        <w:bottom w:val="single" w:sz="4" w:space="1" w:color="auto"/>
      </w:pBdr>
      <w:tabs>
        <w:tab w:val="clear" w:pos="9072"/>
        <w:tab w:val="right" w:pos="9355"/>
      </w:tabs>
      <w:ind w:right="-1"/>
    </w:pPr>
    <w:r>
      <w:tab/>
      <w:t>Eigenerklärung zu Ausschlussgründen</w:t>
    </w:r>
  </w:p>
  <w:p w:rsidR="00392B14" w:rsidRPr="00E223FA" w:rsidRDefault="00392B14" w:rsidP="00E223FA">
    <w:pPr>
      <w:pStyle w:val="Kopfzeile"/>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880" w:rsidRPr="006B759E" w:rsidRDefault="00D86880" w:rsidP="00D86880">
    <w:pPr>
      <w:pStyle w:val="Kopfzeileoben"/>
      <w:pBdr>
        <w:bottom w:val="single" w:sz="4" w:space="1" w:color="auto"/>
      </w:pBdr>
      <w:tabs>
        <w:tab w:val="clear" w:pos="9072"/>
        <w:tab w:val="right" w:pos="9355"/>
      </w:tabs>
      <w:ind w:right="-1"/>
    </w:pPr>
    <w:r>
      <w:tab/>
      <w:t>Eigenerklärung zu Ausschlussgründen</w:t>
    </w:r>
  </w:p>
  <w:p w:rsidR="00D86880" w:rsidRDefault="00D86880" w:rsidP="00D86880">
    <w:pPr>
      <w:pStyle w:val="Kopfzeil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4854"/>
    <w:rsid w:val="00054C38"/>
    <w:rsid w:val="00076066"/>
    <w:rsid w:val="0007702A"/>
    <w:rsid w:val="00083621"/>
    <w:rsid w:val="0008716D"/>
    <w:rsid w:val="000B51A7"/>
    <w:rsid w:val="000D66E8"/>
    <w:rsid w:val="000F56D4"/>
    <w:rsid w:val="000F6249"/>
    <w:rsid w:val="00124CE3"/>
    <w:rsid w:val="00142A43"/>
    <w:rsid w:val="00147204"/>
    <w:rsid w:val="0016700F"/>
    <w:rsid w:val="00176EF5"/>
    <w:rsid w:val="001931C8"/>
    <w:rsid w:val="001B3C00"/>
    <w:rsid w:val="001D6C54"/>
    <w:rsid w:val="00201F16"/>
    <w:rsid w:val="00216094"/>
    <w:rsid w:val="00233C49"/>
    <w:rsid w:val="002404AB"/>
    <w:rsid w:val="0026517C"/>
    <w:rsid w:val="00275109"/>
    <w:rsid w:val="00293EFC"/>
    <w:rsid w:val="002A54F1"/>
    <w:rsid w:val="002E471C"/>
    <w:rsid w:val="002E6E01"/>
    <w:rsid w:val="003117A6"/>
    <w:rsid w:val="003333F2"/>
    <w:rsid w:val="00392B14"/>
    <w:rsid w:val="003D2DBB"/>
    <w:rsid w:val="003D4923"/>
    <w:rsid w:val="003E6732"/>
    <w:rsid w:val="00424103"/>
    <w:rsid w:val="00452D74"/>
    <w:rsid w:val="00485628"/>
    <w:rsid w:val="00493D6A"/>
    <w:rsid w:val="004A4F2B"/>
    <w:rsid w:val="004D160C"/>
    <w:rsid w:val="004D4356"/>
    <w:rsid w:val="004E25CE"/>
    <w:rsid w:val="00500637"/>
    <w:rsid w:val="00535499"/>
    <w:rsid w:val="00545F2C"/>
    <w:rsid w:val="00547B27"/>
    <w:rsid w:val="0055106E"/>
    <w:rsid w:val="00553078"/>
    <w:rsid w:val="005737E6"/>
    <w:rsid w:val="0058289C"/>
    <w:rsid w:val="00585B06"/>
    <w:rsid w:val="005906C4"/>
    <w:rsid w:val="00597BDF"/>
    <w:rsid w:val="005C113E"/>
    <w:rsid w:val="005D5E22"/>
    <w:rsid w:val="005E6B2F"/>
    <w:rsid w:val="005F090E"/>
    <w:rsid w:val="006109E7"/>
    <w:rsid w:val="00625952"/>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A07CE9"/>
    <w:rsid w:val="00A56406"/>
    <w:rsid w:val="00A8150C"/>
    <w:rsid w:val="00A94E2F"/>
    <w:rsid w:val="00AA232C"/>
    <w:rsid w:val="00AC0471"/>
    <w:rsid w:val="00AC3CCA"/>
    <w:rsid w:val="00AC4068"/>
    <w:rsid w:val="00B26D6F"/>
    <w:rsid w:val="00B27987"/>
    <w:rsid w:val="00B3223D"/>
    <w:rsid w:val="00B61FC9"/>
    <w:rsid w:val="00B7667B"/>
    <w:rsid w:val="00B91A1F"/>
    <w:rsid w:val="00C4284A"/>
    <w:rsid w:val="00C430BB"/>
    <w:rsid w:val="00C53C30"/>
    <w:rsid w:val="00C53CAA"/>
    <w:rsid w:val="00C8655A"/>
    <w:rsid w:val="00D05791"/>
    <w:rsid w:val="00D153FC"/>
    <w:rsid w:val="00D32707"/>
    <w:rsid w:val="00D35F94"/>
    <w:rsid w:val="00D4632A"/>
    <w:rsid w:val="00D56E64"/>
    <w:rsid w:val="00D61118"/>
    <w:rsid w:val="00D82824"/>
    <w:rsid w:val="00D83F92"/>
    <w:rsid w:val="00D86880"/>
    <w:rsid w:val="00D93537"/>
    <w:rsid w:val="00D946FE"/>
    <w:rsid w:val="00DA55DA"/>
    <w:rsid w:val="00DC144C"/>
    <w:rsid w:val="00DD2BD1"/>
    <w:rsid w:val="00DD471A"/>
    <w:rsid w:val="00E223FA"/>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035D78"/>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ED95-C9FC-4DEA-9581-80E2510A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Stefanie Höing</cp:lastModifiedBy>
  <cp:revision>3</cp:revision>
  <dcterms:created xsi:type="dcterms:W3CDTF">2024-08-14T10:43:00Z</dcterms:created>
  <dcterms:modified xsi:type="dcterms:W3CDTF">2024-08-14T10:43:00Z</dcterms:modified>
</cp:coreProperties>
</file>