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EFC2" w14:textId="77777777" w:rsidR="00987D68" w:rsidRDefault="00987D68" w:rsidP="00DD7A32"/>
    <w:tbl>
      <w:tblPr>
        <w:tblStyle w:val="Tabellenraster"/>
        <w:tblW w:w="5000" w:type="pct"/>
        <w:tblInd w:w="444" w:type="dxa"/>
        <w:tblBorders>
          <w:left w:val="none" w:sz="0" w:space="0" w:color="auto"/>
          <w:insideH w:val="none" w:sz="0" w:space="0" w:color="auto"/>
          <w:insideV w:val="none" w:sz="0" w:space="0" w:color="auto"/>
        </w:tblBorders>
        <w:tblLook w:val="04A0" w:firstRow="1" w:lastRow="0" w:firstColumn="1" w:lastColumn="0" w:noHBand="0" w:noVBand="1"/>
      </w:tblPr>
      <w:tblGrid>
        <w:gridCol w:w="9067"/>
      </w:tblGrid>
      <w:tr w:rsidR="00987D68" w14:paraId="516E5556" w14:textId="77777777" w:rsidTr="00C0484C">
        <w:tc>
          <w:tcPr>
            <w:tcW w:w="5000" w:type="pct"/>
          </w:tcPr>
          <w:p w14:paraId="1C0BC987" w14:textId="77777777" w:rsidR="00987D68" w:rsidRPr="0096709E" w:rsidRDefault="0096709E" w:rsidP="00C0484C">
            <w:pPr>
              <w:rPr>
                <w:rFonts w:asciiTheme="majorHAnsi" w:hAnsiTheme="majorHAnsi" w:cstheme="majorHAnsi"/>
                <w:b/>
              </w:rPr>
            </w:pPr>
            <w:r w:rsidRPr="0096709E">
              <w:rPr>
                <w:rFonts w:asciiTheme="majorHAnsi" w:hAnsiTheme="majorHAnsi" w:cstheme="majorHAnsi"/>
                <w:b/>
              </w:rPr>
              <w:t>Information</w:t>
            </w:r>
          </w:p>
          <w:p w14:paraId="0B3EFE76" w14:textId="77777777" w:rsidR="006A7A88" w:rsidRDefault="0096709E" w:rsidP="006A7A88">
            <w:pPr>
              <w:rPr>
                <w:rFonts w:asciiTheme="majorHAnsi" w:hAnsiTheme="majorHAnsi" w:cstheme="majorHAnsi"/>
              </w:rPr>
            </w:pPr>
            <w:r w:rsidRPr="0096709E">
              <w:rPr>
                <w:rFonts w:asciiTheme="majorHAnsi" w:hAnsiTheme="majorHAnsi" w:cstheme="majorHAnsi"/>
              </w:rPr>
              <w:t>nach</w:t>
            </w:r>
            <w:r>
              <w:rPr>
                <w:rFonts w:asciiTheme="majorHAnsi" w:hAnsiTheme="majorHAnsi" w:cstheme="majorHAnsi"/>
              </w:rPr>
              <w:t xml:space="preserve"> Artikel 13 Datenschutz-Grundverordnung (DS-GVO)</w:t>
            </w:r>
            <w:r w:rsidR="006A7A88">
              <w:rPr>
                <w:rFonts w:asciiTheme="majorHAnsi" w:hAnsiTheme="majorHAnsi" w:cstheme="majorHAnsi"/>
              </w:rPr>
              <w:t xml:space="preserve"> </w:t>
            </w:r>
            <w:r>
              <w:rPr>
                <w:rFonts w:asciiTheme="majorHAnsi" w:hAnsiTheme="majorHAnsi" w:cstheme="majorHAnsi"/>
              </w:rPr>
              <w:t xml:space="preserve">bei Erhebung </w:t>
            </w:r>
          </w:p>
          <w:p w14:paraId="0AB4B41C" w14:textId="77777777" w:rsidR="0096709E" w:rsidRPr="0096709E" w:rsidRDefault="0096709E" w:rsidP="006A7A88">
            <w:pPr>
              <w:rPr>
                <w:rFonts w:asciiTheme="majorHAnsi" w:hAnsiTheme="majorHAnsi" w:cstheme="majorHAnsi"/>
              </w:rPr>
            </w:pPr>
            <w:r>
              <w:rPr>
                <w:rFonts w:asciiTheme="majorHAnsi" w:hAnsiTheme="majorHAnsi" w:cstheme="majorHAnsi"/>
              </w:rPr>
              <w:t>personenbezogener Daten bei der betroffenen Person</w:t>
            </w:r>
          </w:p>
        </w:tc>
      </w:tr>
    </w:tbl>
    <w:p w14:paraId="10CCA2CE" w14:textId="77777777" w:rsidR="008D52A0" w:rsidRDefault="008D52A0" w:rsidP="00DD7A32"/>
    <w:tbl>
      <w:tblPr>
        <w:tblW w:w="5000" w:type="pct"/>
        <w:tblInd w:w="467" w:type="dxa"/>
        <w:tblBorders>
          <w:top w:val="single" w:sz="4" w:space="0" w:color="000000"/>
          <w:bottom w:val="single" w:sz="8" w:space="0" w:color="000000"/>
          <w:right w:val="single" w:sz="4"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3786"/>
        <w:gridCol w:w="5281"/>
      </w:tblGrid>
      <w:tr w:rsidR="009B1F2F" w14:paraId="3FDD2E49" w14:textId="77777777" w:rsidTr="007A528D">
        <w:tc>
          <w:tcPr>
            <w:tcW w:w="2088" w:type="pct"/>
            <w:tcMar>
              <w:top w:w="57" w:type="dxa"/>
              <w:left w:w="57" w:type="dxa"/>
              <w:bottom w:w="57" w:type="dxa"/>
              <w:right w:w="57" w:type="dxa"/>
            </w:tcMar>
          </w:tcPr>
          <w:p w14:paraId="158E7528" w14:textId="77777777" w:rsidR="008D52A0" w:rsidRPr="00987D68" w:rsidRDefault="008D52A0" w:rsidP="001A16DE">
            <w:pPr>
              <w:rPr>
                <w:rFonts w:eastAsia="Arial" w:cs="Arial"/>
                <w:b/>
                <w:bCs/>
              </w:rPr>
            </w:pPr>
            <w:r w:rsidRPr="00987D68">
              <w:rPr>
                <w:rFonts w:eastAsia="Arial" w:cs="Arial"/>
                <w:b/>
                <w:bCs/>
              </w:rPr>
              <w:t>Verantwortlicher</w:t>
            </w:r>
          </w:p>
          <w:p w14:paraId="15313B7A" w14:textId="77777777" w:rsidR="008D52A0" w:rsidRPr="007A528D" w:rsidRDefault="008D52A0" w:rsidP="005307BA">
            <w:pPr>
              <w:rPr>
                <w:rFonts w:eastAsia="Arial" w:cs="Arial"/>
                <w:iCs/>
                <w:sz w:val="16"/>
                <w:szCs w:val="16"/>
              </w:rPr>
            </w:pPr>
            <w:r w:rsidRPr="007A528D">
              <w:rPr>
                <w:rFonts w:eastAsia="Arial" w:cs="Arial"/>
                <w:iCs/>
                <w:sz w:val="16"/>
                <w:szCs w:val="16"/>
              </w:rPr>
              <w:t>(Fachbereich/Bereich/Abteilung, Telefon, Email)</w:t>
            </w:r>
          </w:p>
        </w:tc>
        <w:tc>
          <w:tcPr>
            <w:tcW w:w="2912" w:type="pct"/>
            <w:tcMar>
              <w:top w:w="57" w:type="dxa"/>
              <w:left w:w="57" w:type="dxa"/>
              <w:bottom w:w="57" w:type="dxa"/>
              <w:right w:w="57" w:type="dxa"/>
            </w:tcMar>
          </w:tcPr>
          <w:p w14:paraId="1CC376C9" w14:textId="77777777" w:rsidR="005307BA" w:rsidRPr="006D28B3" w:rsidRDefault="0011155D" w:rsidP="001A16DE">
            <w:pPr>
              <w:rPr>
                <w:rFonts w:eastAsia="Arial" w:cs="Arial"/>
                <w:kern w:val="22"/>
                <w:sz w:val="20"/>
                <w:szCs w:val="20"/>
              </w:rPr>
            </w:pPr>
            <w:bookmarkStart w:id="0" w:name="Textbox3"/>
            <w:bookmarkEnd w:id="0"/>
            <w:r w:rsidRPr="006D28B3">
              <w:rPr>
                <w:rFonts w:eastAsia="Arial" w:cs="Arial"/>
                <w:kern w:val="22"/>
                <w:sz w:val="20"/>
                <w:szCs w:val="20"/>
              </w:rPr>
              <w:t>Stadt Bochum</w:t>
            </w:r>
          </w:p>
          <w:p w14:paraId="11B0D118" w14:textId="77777777" w:rsidR="005307BA" w:rsidRDefault="005307BA" w:rsidP="001A16DE">
            <w:pPr>
              <w:rPr>
                <w:rFonts w:eastAsia="Arial" w:cs="Arial"/>
                <w:kern w:val="22"/>
                <w:sz w:val="20"/>
                <w:szCs w:val="20"/>
              </w:rPr>
            </w:pPr>
            <w:r w:rsidRPr="006D28B3">
              <w:rPr>
                <w:rFonts w:eastAsia="Arial" w:cs="Arial"/>
                <w:kern w:val="22"/>
                <w:sz w:val="20"/>
                <w:szCs w:val="20"/>
              </w:rPr>
              <w:t>Der Oberbürgermeister</w:t>
            </w:r>
          </w:p>
          <w:p w14:paraId="4752318D" w14:textId="77777777" w:rsidR="00DF455F" w:rsidRPr="006D28B3" w:rsidRDefault="00DF455F" w:rsidP="001A16DE">
            <w:pPr>
              <w:rPr>
                <w:rFonts w:eastAsia="Arial" w:cs="Arial"/>
                <w:kern w:val="22"/>
                <w:sz w:val="20"/>
                <w:szCs w:val="20"/>
              </w:rPr>
            </w:pPr>
          </w:p>
          <w:p w14:paraId="3743D207" w14:textId="2808518E" w:rsidR="00DF455F" w:rsidRPr="006D28B3" w:rsidRDefault="00DF455F" w:rsidP="00711EB7">
            <w:pPr>
              <w:rPr>
                <w:rFonts w:eastAsia="Arial" w:cs="Arial"/>
                <w:i/>
                <w:kern w:val="22"/>
                <w:sz w:val="20"/>
                <w:szCs w:val="20"/>
              </w:rPr>
            </w:pPr>
            <w:r>
              <w:rPr>
                <w:rFonts w:eastAsia="Arial" w:cs="Arial"/>
                <w:kern w:val="22"/>
              </w:rPr>
              <w:fldChar w:fldCharType="begin">
                <w:ffData>
                  <w:name w:val=""/>
                  <w:enabled/>
                  <w:calcOnExit w:val="0"/>
                  <w:textInput/>
                </w:ffData>
              </w:fldChar>
            </w:r>
            <w:r>
              <w:rPr>
                <w:rFonts w:eastAsia="Arial" w:cs="Arial"/>
                <w:kern w:val="22"/>
              </w:rPr>
              <w:instrText xml:space="preserve"> FORMTEXT </w:instrText>
            </w:r>
            <w:r>
              <w:rPr>
                <w:rFonts w:eastAsia="Arial" w:cs="Arial"/>
                <w:kern w:val="22"/>
              </w:rPr>
            </w:r>
            <w:r>
              <w:rPr>
                <w:rFonts w:eastAsia="Arial" w:cs="Arial"/>
                <w:kern w:val="22"/>
              </w:rPr>
              <w:fldChar w:fldCharType="separate"/>
            </w:r>
            <w:r w:rsidR="00711EB7">
              <w:t>(hier muss die Vergabestelle mit den erforderlichen Angaben genannt werden)</w:t>
            </w:r>
            <w:r>
              <w:rPr>
                <w:rFonts w:eastAsia="Arial" w:cs="Arial"/>
                <w:kern w:val="22"/>
              </w:rPr>
              <w:fldChar w:fldCharType="end"/>
            </w:r>
          </w:p>
        </w:tc>
      </w:tr>
      <w:tr w:rsidR="009B1F2F" w14:paraId="4616666D" w14:textId="77777777" w:rsidTr="007A528D">
        <w:tc>
          <w:tcPr>
            <w:tcW w:w="2088" w:type="pct"/>
            <w:tcMar>
              <w:top w:w="57" w:type="dxa"/>
              <w:left w:w="57" w:type="dxa"/>
              <w:bottom w:w="57" w:type="dxa"/>
              <w:right w:w="57" w:type="dxa"/>
            </w:tcMar>
          </w:tcPr>
          <w:p w14:paraId="234574E6" w14:textId="77777777" w:rsidR="003C53F9" w:rsidRPr="00987D68" w:rsidRDefault="003C53F9" w:rsidP="003C53F9">
            <w:pPr>
              <w:rPr>
                <w:rFonts w:eastAsia="Arial" w:cs="Arial"/>
                <w:b/>
                <w:bCs/>
              </w:rPr>
            </w:pPr>
            <w:r w:rsidRPr="00987D68">
              <w:rPr>
                <w:rFonts w:eastAsia="Arial" w:cs="Arial"/>
                <w:b/>
                <w:bCs/>
              </w:rPr>
              <w:t>Datenschutzbeauftragte/r</w:t>
            </w:r>
          </w:p>
          <w:p w14:paraId="3AA24EE2" w14:textId="77777777" w:rsidR="003C53F9" w:rsidRPr="007A528D" w:rsidRDefault="003C53F9" w:rsidP="008162A8">
            <w:pPr>
              <w:rPr>
                <w:rFonts w:eastAsia="Arial" w:cs="Arial"/>
                <w:b/>
                <w:bCs/>
              </w:rPr>
            </w:pPr>
            <w:r w:rsidRPr="007A528D">
              <w:rPr>
                <w:rFonts w:eastAsia="Arial" w:cs="Arial"/>
                <w:iCs/>
                <w:sz w:val="16"/>
                <w:szCs w:val="16"/>
              </w:rPr>
              <w:t>(</w:t>
            </w:r>
            <w:r w:rsidR="0009457F">
              <w:rPr>
                <w:rFonts w:eastAsia="Arial" w:cs="Arial"/>
                <w:iCs/>
                <w:sz w:val="16"/>
                <w:szCs w:val="16"/>
              </w:rPr>
              <w:t xml:space="preserve">Anrede, </w:t>
            </w:r>
            <w:r w:rsidRPr="007A528D">
              <w:rPr>
                <w:rFonts w:eastAsia="Arial" w:cs="Arial"/>
                <w:iCs/>
                <w:sz w:val="16"/>
                <w:szCs w:val="16"/>
              </w:rPr>
              <w:t>Name, Telefon, Email; Postanschrift bei externer/-m DSB)</w:t>
            </w:r>
          </w:p>
        </w:tc>
        <w:tc>
          <w:tcPr>
            <w:tcW w:w="2912" w:type="pct"/>
            <w:tcMar>
              <w:top w:w="57" w:type="dxa"/>
              <w:left w:w="57" w:type="dxa"/>
              <w:bottom w:w="57" w:type="dxa"/>
              <w:right w:w="57" w:type="dxa"/>
            </w:tcMar>
          </w:tcPr>
          <w:p w14:paraId="7FB8F7D5" w14:textId="59525E6A" w:rsidR="003C53F9" w:rsidRPr="006D28B3" w:rsidRDefault="0009457F" w:rsidP="003C53F9">
            <w:pPr>
              <w:rPr>
                <w:rFonts w:eastAsia="Arial" w:cs="Arial"/>
                <w:sz w:val="20"/>
                <w:szCs w:val="20"/>
              </w:rPr>
            </w:pPr>
            <w:r w:rsidRPr="006D28B3">
              <w:rPr>
                <w:rFonts w:eastAsia="Arial" w:cs="Arial"/>
                <w:sz w:val="20"/>
                <w:szCs w:val="20"/>
              </w:rPr>
              <w:t>Frau</w:t>
            </w:r>
            <w:r w:rsidR="003C53F9" w:rsidRPr="006D28B3">
              <w:rPr>
                <w:rFonts w:eastAsia="Arial" w:cs="Arial"/>
                <w:sz w:val="20"/>
                <w:szCs w:val="20"/>
              </w:rPr>
              <w:t xml:space="preserve"> </w:t>
            </w:r>
            <w:r w:rsidR="00837186">
              <w:rPr>
                <w:rFonts w:eastAsia="Arial" w:cs="Arial"/>
                <w:sz w:val="20"/>
                <w:szCs w:val="20"/>
              </w:rPr>
              <w:t>Mallon</w:t>
            </w:r>
            <w:r w:rsidR="003C53F9" w:rsidRPr="006D28B3">
              <w:rPr>
                <w:rFonts w:eastAsia="Arial" w:cs="Arial"/>
                <w:sz w:val="20"/>
                <w:szCs w:val="20"/>
              </w:rPr>
              <w:t xml:space="preserve">, Telefon 0234/910-2052, </w:t>
            </w:r>
          </w:p>
          <w:p w14:paraId="7608AE5F" w14:textId="77777777" w:rsidR="003C53F9" w:rsidRPr="006D28B3" w:rsidRDefault="003C53F9" w:rsidP="003C53F9">
            <w:pPr>
              <w:rPr>
                <w:rFonts w:eastAsia="Arial" w:cs="Arial"/>
                <w:sz w:val="20"/>
                <w:szCs w:val="20"/>
              </w:rPr>
            </w:pPr>
            <w:r w:rsidRPr="006D28B3">
              <w:rPr>
                <w:rFonts w:eastAsia="Arial" w:cs="Arial"/>
                <w:sz w:val="20"/>
                <w:szCs w:val="20"/>
              </w:rPr>
              <w:t xml:space="preserve">E-Mail </w:t>
            </w:r>
            <w:hyperlink r:id="rId8" w:history="1">
              <w:r w:rsidRPr="006D28B3">
                <w:rPr>
                  <w:rStyle w:val="Hyperlink"/>
                  <w:rFonts w:eastAsia="Arial" w:cs="Arial"/>
                  <w:sz w:val="20"/>
                  <w:szCs w:val="20"/>
                </w:rPr>
                <w:t>datenschutz@bochum.de</w:t>
              </w:r>
            </w:hyperlink>
            <w:r w:rsidRPr="006D28B3">
              <w:rPr>
                <w:rFonts w:eastAsia="Arial" w:cs="Arial"/>
                <w:sz w:val="20"/>
                <w:szCs w:val="20"/>
              </w:rPr>
              <w:t xml:space="preserve"> </w:t>
            </w:r>
          </w:p>
        </w:tc>
      </w:tr>
      <w:tr w:rsidR="009B1F2F" w14:paraId="50E56701" w14:textId="77777777" w:rsidTr="007A528D">
        <w:tc>
          <w:tcPr>
            <w:tcW w:w="2088" w:type="pct"/>
            <w:tcMar>
              <w:top w:w="57" w:type="dxa"/>
              <w:left w:w="57" w:type="dxa"/>
              <w:bottom w:w="57" w:type="dxa"/>
              <w:right w:w="57" w:type="dxa"/>
            </w:tcMar>
          </w:tcPr>
          <w:p w14:paraId="64643D6F" w14:textId="77777777" w:rsidR="008D52A0" w:rsidRPr="00987D68" w:rsidRDefault="008D52A0" w:rsidP="001A16DE">
            <w:pPr>
              <w:rPr>
                <w:rFonts w:eastAsia="Arial" w:cs="Arial"/>
                <w:b/>
                <w:bCs/>
              </w:rPr>
            </w:pPr>
            <w:r w:rsidRPr="00987D68">
              <w:rPr>
                <w:rFonts w:eastAsia="Arial" w:cs="Arial"/>
                <w:b/>
                <w:bCs/>
              </w:rPr>
              <w:t>Zweck/e der Datenverarbeitung</w:t>
            </w:r>
          </w:p>
          <w:p w14:paraId="7495C35B" w14:textId="77777777" w:rsidR="008D52A0" w:rsidRPr="007A528D" w:rsidRDefault="008D52A0" w:rsidP="001A16DE">
            <w:pPr>
              <w:rPr>
                <w:rFonts w:eastAsia="Arial" w:cs="Arial"/>
                <w:iCs/>
                <w:sz w:val="16"/>
                <w:szCs w:val="16"/>
              </w:rPr>
            </w:pPr>
            <w:r w:rsidRPr="007A528D">
              <w:rPr>
                <w:rFonts w:eastAsia="Arial" w:cs="Arial"/>
                <w:iCs/>
                <w:sz w:val="16"/>
                <w:szCs w:val="16"/>
              </w:rPr>
              <w:t>(Nennung der Hauptaufgaben; z.B. Erteilung und Entzug von Fahrerlaubnissen)</w:t>
            </w:r>
          </w:p>
        </w:tc>
        <w:tc>
          <w:tcPr>
            <w:tcW w:w="2912" w:type="pct"/>
            <w:tcMar>
              <w:top w:w="57" w:type="dxa"/>
              <w:left w:w="57" w:type="dxa"/>
              <w:bottom w:w="57" w:type="dxa"/>
              <w:right w:w="57" w:type="dxa"/>
            </w:tcMar>
          </w:tcPr>
          <w:p w14:paraId="307479D0" w14:textId="77777777" w:rsidR="006D28B3" w:rsidRPr="006D28B3" w:rsidRDefault="006D28B3" w:rsidP="006D28B3">
            <w:pPr>
              <w:rPr>
                <w:rFonts w:eastAsia="Arial" w:cs="Arial"/>
                <w:kern w:val="22"/>
                <w:sz w:val="20"/>
                <w:szCs w:val="20"/>
              </w:rPr>
            </w:pPr>
            <w:bookmarkStart w:id="1" w:name="Textbox6"/>
            <w:bookmarkEnd w:id="1"/>
            <w:r w:rsidRPr="006D28B3">
              <w:rPr>
                <w:rFonts w:eastAsia="Arial" w:cs="Arial"/>
                <w:kern w:val="22"/>
                <w:sz w:val="20"/>
                <w:szCs w:val="20"/>
              </w:rPr>
              <w:t>Durchführung eines Vergabeverfahrens.</w:t>
            </w:r>
          </w:p>
          <w:p w14:paraId="7F71EEDC" w14:textId="77777777" w:rsidR="009B1F2F" w:rsidRPr="006D28B3" w:rsidRDefault="009B1F2F" w:rsidP="006D28B3">
            <w:pPr>
              <w:rPr>
                <w:rFonts w:eastAsia="Arial" w:cs="Arial"/>
                <w:sz w:val="20"/>
                <w:szCs w:val="20"/>
              </w:rPr>
            </w:pPr>
          </w:p>
        </w:tc>
      </w:tr>
      <w:tr w:rsidR="009B1F2F" w14:paraId="05A17AB3" w14:textId="77777777" w:rsidTr="007A528D">
        <w:tc>
          <w:tcPr>
            <w:tcW w:w="2088" w:type="pct"/>
            <w:tcMar>
              <w:top w:w="57" w:type="dxa"/>
              <w:left w:w="57" w:type="dxa"/>
              <w:bottom w:w="57" w:type="dxa"/>
              <w:right w:w="57" w:type="dxa"/>
            </w:tcMar>
          </w:tcPr>
          <w:p w14:paraId="0BAD7F96" w14:textId="77777777" w:rsidR="008D52A0" w:rsidRPr="00987D68" w:rsidRDefault="008D52A0" w:rsidP="001A16DE">
            <w:pPr>
              <w:rPr>
                <w:rFonts w:eastAsia="Arial" w:cs="Arial"/>
                <w:b/>
                <w:bCs/>
              </w:rPr>
            </w:pPr>
            <w:r w:rsidRPr="00987D68">
              <w:rPr>
                <w:rFonts w:eastAsia="Arial" w:cs="Arial"/>
                <w:b/>
                <w:bCs/>
              </w:rPr>
              <w:t>Wesentliche Rechtsgrundlage/n</w:t>
            </w:r>
          </w:p>
          <w:p w14:paraId="1A045863" w14:textId="77777777" w:rsidR="008D52A0" w:rsidRPr="007A528D" w:rsidRDefault="008D52A0" w:rsidP="001A16DE">
            <w:pPr>
              <w:rPr>
                <w:rFonts w:eastAsia="Arial" w:cs="Arial"/>
                <w:iCs/>
                <w:sz w:val="16"/>
                <w:szCs w:val="16"/>
              </w:rPr>
            </w:pPr>
            <w:r w:rsidRPr="007A528D">
              <w:rPr>
                <w:rFonts w:eastAsia="Arial" w:cs="Arial"/>
                <w:iCs/>
                <w:sz w:val="16"/>
                <w:szCs w:val="16"/>
              </w:rPr>
              <w:t>(sowohl materiell-rechtlich wie auch verfahrens- und datenschutzrechtlich)</w:t>
            </w:r>
          </w:p>
        </w:tc>
        <w:tc>
          <w:tcPr>
            <w:tcW w:w="2912" w:type="pct"/>
            <w:tcMar>
              <w:top w:w="57" w:type="dxa"/>
              <w:left w:w="57" w:type="dxa"/>
              <w:bottom w:w="57" w:type="dxa"/>
              <w:right w:w="57" w:type="dxa"/>
            </w:tcMar>
          </w:tcPr>
          <w:p w14:paraId="33BF9EF7" w14:textId="77777777" w:rsidR="006D28B3" w:rsidRPr="006D28B3" w:rsidRDefault="006D28B3" w:rsidP="006D28B3">
            <w:pPr>
              <w:rPr>
                <w:rFonts w:eastAsia="Arial" w:cs="Arial"/>
                <w:kern w:val="2"/>
                <w:sz w:val="20"/>
                <w:szCs w:val="20"/>
              </w:rPr>
            </w:pPr>
            <w:bookmarkStart w:id="2" w:name="Textbox7"/>
            <w:bookmarkEnd w:id="2"/>
            <w:r w:rsidRPr="006D28B3">
              <w:rPr>
                <w:rFonts w:eastAsia="Arial" w:cs="Arial"/>
                <w:kern w:val="2"/>
                <w:sz w:val="20"/>
                <w:szCs w:val="20"/>
              </w:rPr>
              <w:t>Art. 6 Abs. 1 Buchstabe c i. V. m. Art. 6 Abs. 3 Datenschutz-Grundverordnung (DSGVO) und § 55 Landeshaushaltsordnung NRW.</w:t>
            </w:r>
          </w:p>
          <w:p w14:paraId="59422AC4" w14:textId="77777777" w:rsidR="006D28B3" w:rsidRPr="006D28B3" w:rsidRDefault="006D28B3" w:rsidP="006D28B3">
            <w:pPr>
              <w:rPr>
                <w:rFonts w:eastAsia="Arial" w:cs="Arial"/>
                <w:kern w:val="2"/>
                <w:sz w:val="20"/>
                <w:szCs w:val="20"/>
              </w:rPr>
            </w:pPr>
          </w:p>
          <w:p w14:paraId="5A6F9484" w14:textId="77777777" w:rsidR="009B1F2F" w:rsidRPr="006D28B3" w:rsidRDefault="006D28B3" w:rsidP="006D28B3">
            <w:pPr>
              <w:rPr>
                <w:rFonts w:eastAsia="Arial" w:cs="Arial"/>
                <w:sz w:val="20"/>
                <w:szCs w:val="20"/>
              </w:rPr>
            </w:pPr>
            <w:r w:rsidRPr="006D28B3">
              <w:rPr>
                <w:rFonts w:eastAsia="Arial" w:cs="Arial"/>
                <w:kern w:val="2"/>
                <w:sz w:val="20"/>
                <w:szCs w:val="20"/>
              </w:rPr>
              <w:t>Als Bewerber bzw. Bieter sind Sie verpflichtet, die geforderten Angaben zu machen. Falls Sie diese Angaben nicht machen, kann Ihr Angebot/Teilnahmeantrag  nach den vergaberechtlichen Vorschriften vom weiteren Vergabeverfahren ausgeschlossen werden.</w:t>
            </w:r>
          </w:p>
        </w:tc>
      </w:tr>
      <w:tr w:rsidR="009B1F2F" w14:paraId="5C345B78" w14:textId="77777777" w:rsidTr="007A528D">
        <w:tc>
          <w:tcPr>
            <w:tcW w:w="2088" w:type="pct"/>
            <w:tcMar>
              <w:top w:w="57" w:type="dxa"/>
              <w:left w:w="57" w:type="dxa"/>
              <w:bottom w:w="57" w:type="dxa"/>
              <w:right w:w="57" w:type="dxa"/>
            </w:tcMar>
          </w:tcPr>
          <w:p w14:paraId="1EECEA57" w14:textId="77777777" w:rsidR="008D52A0" w:rsidRPr="00987D68" w:rsidRDefault="008D52A0" w:rsidP="001A16DE">
            <w:pPr>
              <w:rPr>
                <w:rFonts w:eastAsia="Arial" w:cs="Arial"/>
                <w:b/>
                <w:bCs/>
              </w:rPr>
            </w:pPr>
            <w:r w:rsidRPr="00987D68">
              <w:rPr>
                <w:rFonts w:eastAsia="Arial" w:cs="Arial"/>
                <w:b/>
                <w:bCs/>
              </w:rPr>
              <w:t xml:space="preserve">Empfänger und Kategorien von </w:t>
            </w:r>
          </w:p>
          <w:p w14:paraId="01E6BFC2" w14:textId="77777777" w:rsidR="008D52A0" w:rsidRPr="00987D68" w:rsidRDefault="008D52A0" w:rsidP="001A16DE">
            <w:pPr>
              <w:rPr>
                <w:rFonts w:eastAsia="Arial" w:cs="Arial"/>
                <w:b/>
                <w:bCs/>
              </w:rPr>
            </w:pPr>
            <w:r w:rsidRPr="00987D68">
              <w:rPr>
                <w:rFonts w:eastAsia="Arial" w:cs="Arial"/>
                <w:b/>
                <w:bCs/>
              </w:rPr>
              <w:t>Empfängern der Daten</w:t>
            </w:r>
          </w:p>
          <w:p w14:paraId="0C573924" w14:textId="77777777" w:rsidR="008D52A0" w:rsidRPr="007A528D" w:rsidRDefault="008D52A0" w:rsidP="001A16DE">
            <w:pPr>
              <w:rPr>
                <w:rFonts w:eastAsia="Arial" w:cs="Arial"/>
                <w:iCs/>
                <w:sz w:val="16"/>
                <w:szCs w:val="16"/>
              </w:rPr>
            </w:pPr>
            <w:r w:rsidRPr="007A528D">
              <w:rPr>
                <w:rFonts w:eastAsia="Arial" w:cs="Arial"/>
                <w:iCs/>
                <w:sz w:val="16"/>
                <w:szCs w:val="16"/>
              </w:rPr>
              <w:t>(im Regelfall)</w:t>
            </w:r>
          </w:p>
        </w:tc>
        <w:tc>
          <w:tcPr>
            <w:tcW w:w="2912" w:type="pct"/>
            <w:tcMar>
              <w:top w:w="57" w:type="dxa"/>
              <w:left w:w="57" w:type="dxa"/>
              <w:bottom w:w="57" w:type="dxa"/>
              <w:right w:w="57" w:type="dxa"/>
            </w:tcMar>
          </w:tcPr>
          <w:p w14:paraId="0937CE62" w14:textId="77777777" w:rsidR="006D28B3" w:rsidRPr="006D28B3" w:rsidRDefault="006D28B3" w:rsidP="006D28B3">
            <w:pPr>
              <w:rPr>
                <w:rFonts w:eastAsia="Arial" w:cs="Arial"/>
                <w:kern w:val="22"/>
                <w:sz w:val="20"/>
                <w:szCs w:val="20"/>
              </w:rPr>
            </w:pPr>
            <w:bookmarkStart w:id="3" w:name="Textbox8"/>
            <w:bookmarkEnd w:id="3"/>
            <w:r w:rsidRPr="006D28B3">
              <w:rPr>
                <w:rFonts w:eastAsia="Arial" w:cs="Arial"/>
                <w:kern w:val="22"/>
                <w:sz w:val="20"/>
                <w:szCs w:val="20"/>
              </w:rPr>
              <w:t>Personenbezogene Daten dürfen an andere Personen oder Stellen weiter gegeben werden, wenn Sie dem zustimmt haben oder die Weitergabe gesetzlich zugelassen ist:</w:t>
            </w:r>
          </w:p>
          <w:p w14:paraId="3CF547D4" w14:textId="77777777" w:rsidR="006D28B3" w:rsidRPr="006D28B3" w:rsidRDefault="006D28B3" w:rsidP="006D28B3">
            <w:pPr>
              <w:rPr>
                <w:rFonts w:eastAsia="Arial" w:cs="Arial"/>
                <w:kern w:val="22"/>
                <w:sz w:val="20"/>
                <w:szCs w:val="20"/>
              </w:rPr>
            </w:pPr>
          </w:p>
          <w:p w14:paraId="28D1707A" w14:textId="77777777" w:rsidR="006D28B3" w:rsidRPr="006D28B3" w:rsidRDefault="006D28B3" w:rsidP="006D28B3">
            <w:pPr>
              <w:rPr>
                <w:rFonts w:eastAsia="Arial" w:cs="Arial"/>
                <w:kern w:val="22"/>
                <w:sz w:val="20"/>
                <w:szCs w:val="20"/>
              </w:rPr>
            </w:pPr>
            <w:r w:rsidRPr="006D28B3">
              <w:rPr>
                <w:rFonts w:eastAsia="Arial" w:cs="Arial"/>
                <w:kern w:val="22"/>
                <w:sz w:val="20"/>
                <w:szCs w:val="20"/>
              </w:rPr>
              <w:t>Nach §§ 6 ff. Korruptionsbekämpfungsgesetz meldet die Vergabestelle der/dem im Land Nordrhein-Westfalen eingerichteten zentralen Informationsstelle/Vergaberegister beim Ministerium der Finanzen des Landes NRW solche Bieter, die wegen schwerer Verfehlungen von der Teilnahme am Vergabeverfahren zeitlich befristet ausgeschlossen wurden oder bei denen wegen geringfügiger Verfehlungen auf einen Ausschluss verzichtet wurde. Die Vergabestelle fragt bei Aufträgen ab einer Höhe von 25.000 Euro ohne Umsatzsteuer bei der v. g. Informationsstelle an, ob hinsichtlich des Bieters, der den Zuschlag erhalten soll, Eintragungen im Vergaberegister vorliegen. Unterhalb von 25.000 Euro ohne Umsatzsteuer liegt die Anfrage im Ermessen der Vergabestelle.</w:t>
            </w:r>
          </w:p>
          <w:p w14:paraId="05D4D0D1" w14:textId="77777777" w:rsidR="006D28B3" w:rsidRPr="006D28B3" w:rsidRDefault="006D28B3" w:rsidP="006D28B3">
            <w:pPr>
              <w:rPr>
                <w:rFonts w:eastAsia="Arial" w:cs="Arial"/>
                <w:kern w:val="22"/>
                <w:sz w:val="20"/>
                <w:szCs w:val="20"/>
              </w:rPr>
            </w:pPr>
          </w:p>
          <w:p w14:paraId="505B82E5" w14:textId="77777777" w:rsidR="006D28B3" w:rsidRPr="006D28B3" w:rsidRDefault="006D28B3" w:rsidP="006D28B3">
            <w:pPr>
              <w:rPr>
                <w:rFonts w:eastAsia="Arial" w:cs="Arial"/>
                <w:kern w:val="22"/>
                <w:sz w:val="20"/>
                <w:szCs w:val="20"/>
              </w:rPr>
            </w:pPr>
            <w:r w:rsidRPr="006D28B3">
              <w:rPr>
                <w:rFonts w:eastAsia="Arial" w:cs="Arial"/>
                <w:kern w:val="22"/>
                <w:sz w:val="20"/>
                <w:szCs w:val="20"/>
              </w:rPr>
              <w:t>Nach § 19 Abs. 4 Mindestlohngesetz fordert die Vergabestelle bei Aufträgen ab einer Höhe von 30 000 Euro ohne Umsatzsteuer für den Bieter, der den Zuschlag erhalten soll, vor der Zuschlagserteilung eine Auskunft aus dem Gewerbezentralregister nach § 150a Gewerbeordnung an.</w:t>
            </w:r>
          </w:p>
          <w:p w14:paraId="61B96208" w14:textId="77777777" w:rsidR="006D28B3" w:rsidRPr="006D28B3" w:rsidRDefault="006D28B3" w:rsidP="006D28B3">
            <w:pPr>
              <w:rPr>
                <w:rFonts w:eastAsia="Arial" w:cs="Arial"/>
                <w:kern w:val="22"/>
                <w:sz w:val="20"/>
                <w:szCs w:val="20"/>
              </w:rPr>
            </w:pPr>
          </w:p>
          <w:p w14:paraId="1FF2BAC1" w14:textId="77777777" w:rsidR="006D28B3" w:rsidRPr="006D28B3" w:rsidRDefault="006D28B3" w:rsidP="006D28B3">
            <w:pPr>
              <w:rPr>
                <w:rFonts w:eastAsia="Arial" w:cs="Arial"/>
                <w:kern w:val="22"/>
                <w:sz w:val="20"/>
                <w:szCs w:val="20"/>
              </w:rPr>
            </w:pPr>
            <w:r w:rsidRPr="006D28B3">
              <w:rPr>
                <w:rFonts w:eastAsia="Arial" w:cs="Arial"/>
                <w:kern w:val="22"/>
                <w:sz w:val="20"/>
                <w:szCs w:val="20"/>
              </w:rPr>
              <w:lastRenderedPageBreak/>
              <w:t>Bei allen Vergabeverfahren sind auf Verlangen der Bieter, die nicht für den Zuschlag berücksichtigt worden sind, die Merkmale und Vorteile des erfolgreichen Angebots sowie den Namen des erfolgreichen Bieters mitzuteilen.</w:t>
            </w:r>
          </w:p>
          <w:p w14:paraId="3DF33C87" w14:textId="77777777" w:rsidR="006D28B3" w:rsidRPr="006D28B3" w:rsidRDefault="006D28B3" w:rsidP="006D28B3">
            <w:pPr>
              <w:rPr>
                <w:rFonts w:eastAsia="Arial" w:cs="Arial"/>
                <w:kern w:val="22"/>
                <w:sz w:val="20"/>
                <w:szCs w:val="20"/>
              </w:rPr>
            </w:pPr>
          </w:p>
          <w:p w14:paraId="3765ECA6" w14:textId="77777777" w:rsidR="009B1F2F" w:rsidRPr="006D28B3" w:rsidRDefault="006D28B3" w:rsidP="006D28B3">
            <w:pPr>
              <w:rPr>
                <w:rFonts w:eastAsia="Arial" w:cs="Arial"/>
                <w:sz w:val="20"/>
                <w:szCs w:val="20"/>
              </w:rPr>
            </w:pPr>
            <w:r w:rsidRPr="006D28B3">
              <w:rPr>
                <w:rFonts w:eastAsia="Arial" w:cs="Arial"/>
                <w:kern w:val="22"/>
                <w:sz w:val="20"/>
                <w:szCs w:val="20"/>
              </w:rP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tc>
      </w:tr>
      <w:tr w:rsidR="009B1F2F" w14:paraId="44A17691" w14:textId="77777777" w:rsidTr="007A528D">
        <w:tc>
          <w:tcPr>
            <w:tcW w:w="2088" w:type="pct"/>
            <w:tcMar>
              <w:top w:w="57" w:type="dxa"/>
              <w:left w:w="57" w:type="dxa"/>
              <w:bottom w:w="57" w:type="dxa"/>
              <w:right w:w="57" w:type="dxa"/>
            </w:tcMar>
          </w:tcPr>
          <w:p w14:paraId="5FA5E927" w14:textId="77777777" w:rsidR="008D52A0" w:rsidRPr="00987D68" w:rsidRDefault="008D52A0" w:rsidP="001A16DE">
            <w:pPr>
              <w:rPr>
                <w:rFonts w:eastAsia="Arial" w:cs="Arial"/>
                <w:b/>
                <w:bCs/>
              </w:rPr>
            </w:pPr>
            <w:r w:rsidRPr="00987D68">
              <w:rPr>
                <w:rFonts w:eastAsia="Arial" w:cs="Arial"/>
                <w:b/>
                <w:bCs/>
              </w:rPr>
              <w:lastRenderedPageBreak/>
              <w:t xml:space="preserve">Dauer der Speicherung </w:t>
            </w:r>
          </w:p>
          <w:p w14:paraId="7AEE5FD8" w14:textId="77777777" w:rsidR="008D52A0" w:rsidRPr="00987D68" w:rsidRDefault="008D52A0" w:rsidP="001A16DE">
            <w:pPr>
              <w:rPr>
                <w:rFonts w:eastAsia="Arial" w:cs="Arial"/>
                <w:b/>
                <w:bCs/>
              </w:rPr>
            </w:pPr>
            <w:r w:rsidRPr="00987D68">
              <w:rPr>
                <w:rFonts w:eastAsia="Arial" w:cs="Arial"/>
                <w:b/>
                <w:bCs/>
              </w:rPr>
              <w:t>und Aufbewahrungsfristen</w:t>
            </w:r>
          </w:p>
          <w:p w14:paraId="25DFEA24" w14:textId="77777777" w:rsidR="008D52A0" w:rsidRPr="007A528D" w:rsidRDefault="008D52A0" w:rsidP="001A16DE">
            <w:pPr>
              <w:rPr>
                <w:rFonts w:eastAsia="Arial" w:cs="Arial"/>
                <w:iCs/>
                <w:sz w:val="16"/>
                <w:szCs w:val="16"/>
              </w:rPr>
            </w:pPr>
            <w:r w:rsidRPr="007A528D">
              <w:rPr>
                <w:rFonts w:eastAsia="Arial" w:cs="Arial"/>
                <w:iCs/>
                <w:sz w:val="16"/>
                <w:szCs w:val="16"/>
              </w:rPr>
              <w:t>(aus rechtlichen</w:t>
            </w:r>
            <w:r w:rsidR="007A528D">
              <w:rPr>
                <w:rFonts w:eastAsia="Arial" w:cs="Arial"/>
                <w:iCs/>
                <w:sz w:val="16"/>
                <w:szCs w:val="16"/>
              </w:rPr>
              <w:t xml:space="preserve"> Bestimmungen wie z.B. Kassen-, </w:t>
            </w:r>
            <w:r w:rsidRPr="007A528D">
              <w:rPr>
                <w:rFonts w:eastAsia="Arial" w:cs="Arial"/>
                <w:iCs/>
                <w:sz w:val="16"/>
                <w:szCs w:val="16"/>
              </w:rPr>
              <w:t>Handels-, Steuerrecht oder KGSt-Empfehlungen)</w:t>
            </w:r>
          </w:p>
        </w:tc>
        <w:tc>
          <w:tcPr>
            <w:tcW w:w="2912" w:type="pct"/>
            <w:tcMar>
              <w:top w:w="57" w:type="dxa"/>
              <w:left w:w="57" w:type="dxa"/>
              <w:bottom w:w="57" w:type="dxa"/>
              <w:right w:w="57" w:type="dxa"/>
            </w:tcMar>
          </w:tcPr>
          <w:p w14:paraId="1A26268C" w14:textId="77777777" w:rsidR="009B1F2F" w:rsidRPr="006D28B3" w:rsidRDefault="006D28B3" w:rsidP="006D28B3">
            <w:pPr>
              <w:rPr>
                <w:rFonts w:eastAsia="Arial" w:cs="Arial"/>
                <w:sz w:val="20"/>
                <w:szCs w:val="20"/>
              </w:rPr>
            </w:pPr>
            <w:bookmarkStart w:id="4" w:name="Textbox9"/>
            <w:bookmarkEnd w:id="4"/>
            <w:r w:rsidRPr="006D28B3">
              <w:rPr>
                <w:rFonts w:eastAsia="Arial" w:cs="Arial"/>
                <w:kern w:val="22"/>
                <w:sz w:val="20"/>
                <w:szCs w:val="20"/>
              </w:rPr>
              <w:t>Maßstab für die Dauer der Speicherung personenbezogener Daten sind die haushaltsrechtlichen Aufbewahrungsfristen (§ 79 Landeshaushaltsordnung NRW).</w:t>
            </w:r>
          </w:p>
        </w:tc>
      </w:tr>
      <w:tr w:rsidR="009B1F2F" w14:paraId="5DE9FE44" w14:textId="77777777" w:rsidTr="007A528D">
        <w:tc>
          <w:tcPr>
            <w:tcW w:w="2088" w:type="pct"/>
            <w:tcMar>
              <w:top w:w="57" w:type="dxa"/>
              <w:left w:w="57" w:type="dxa"/>
              <w:bottom w:w="57" w:type="dxa"/>
              <w:right w:w="57" w:type="dxa"/>
            </w:tcMar>
          </w:tcPr>
          <w:p w14:paraId="014E6AE0" w14:textId="77777777" w:rsidR="003C53F9" w:rsidRPr="00987D68" w:rsidRDefault="003C53F9" w:rsidP="003C53F9">
            <w:pPr>
              <w:rPr>
                <w:rFonts w:eastAsia="Arial" w:cs="Arial"/>
                <w:b/>
                <w:bCs/>
              </w:rPr>
            </w:pPr>
            <w:r w:rsidRPr="00987D68">
              <w:rPr>
                <w:rFonts w:eastAsia="Arial" w:cs="Arial"/>
                <w:b/>
                <w:bCs/>
              </w:rPr>
              <w:t>Rechte der betroffenen Person</w:t>
            </w:r>
          </w:p>
          <w:p w14:paraId="3866D0D1" w14:textId="77777777" w:rsidR="003C53F9" w:rsidRPr="007A528D" w:rsidRDefault="003C53F9" w:rsidP="003C53F9">
            <w:pPr>
              <w:rPr>
                <w:rFonts w:eastAsia="Arial" w:cs="Arial"/>
                <w:b/>
                <w:bCs/>
              </w:rPr>
            </w:pPr>
            <w:r w:rsidRPr="007A528D">
              <w:rPr>
                <w:rFonts w:eastAsia="Arial" w:cs="Arial"/>
                <w:iCs/>
                <w:sz w:val="16"/>
                <w:szCs w:val="16"/>
              </w:rPr>
              <w:t>(allgemeine Aufzählung, Voraussetzungen)</w:t>
            </w:r>
          </w:p>
        </w:tc>
        <w:tc>
          <w:tcPr>
            <w:tcW w:w="2912" w:type="pct"/>
            <w:tcMar>
              <w:top w:w="57" w:type="dxa"/>
              <w:left w:w="57" w:type="dxa"/>
              <w:bottom w:w="57" w:type="dxa"/>
              <w:right w:w="57" w:type="dxa"/>
            </w:tcMar>
          </w:tcPr>
          <w:p w14:paraId="5B65B9AB" w14:textId="77777777" w:rsidR="003C53F9" w:rsidRPr="006D28B3" w:rsidRDefault="003C53F9" w:rsidP="007A528D">
            <w:pPr>
              <w:rPr>
                <w:rFonts w:eastAsia="Arial" w:cs="Arial"/>
                <w:sz w:val="20"/>
                <w:szCs w:val="20"/>
              </w:rPr>
            </w:pPr>
            <w:r w:rsidRPr="006D28B3">
              <w:rPr>
                <w:rFonts w:eastAsia="Arial" w:cs="Arial"/>
                <w:sz w:val="20"/>
                <w:szCs w:val="20"/>
              </w:rPr>
              <w:t>Betroffene Personen haben folgende Rechte, wenn die gesetzlichen und persönlichen Voraussetzungen erfüllt sind:</w:t>
            </w:r>
          </w:p>
          <w:p w14:paraId="6890AEF5"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Auskunft über die verarbeiteten personenbezogenen Daten</w:t>
            </w:r>
          </w:p>
          <w:p w14:paraId="1194E50B"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Akteneinsicht nach den verfahrensrechtlichen Bestimmungen</w:t>
            </w:r>
          </w:p>
          <w:p w14:paraId="18238A06"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Berichtigung unrichtiger Daten</w:t>
            </w:r>
          </w:p>
          <w:p w14:paraId="2672D668"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Löschung oder Einschränkung der Datenverarbeitung</w:t>
            </w:r>
          </w:p>
          <w:p w14:paraId="1E981F89"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Widerspruch gegen die Datenverarbeitung wegen besonderer Umstände</w:t>
            </w:r>
          </w:p>
          <w:p w14:paraId="4CFE96BF" w14:textId="77777777" w:rsidR="003C53F9" w:rsidRPr="006D28B3" w:rsidRDefault="003C53F9" w:rsidP="007A528D">
            <w:pPr>
              <w:rPr>
                <w:rFonts w:eastAsia="Arial" w:cs="Arial"/>
                <w:sz w:val="20"/>
                <w:szCs w:val="20"/>
              </w:rPr>
            </w:pPr>
            <w:r w:rsidRPr="006D28B3">
              <w:rPr>
                <w:rFonts w:eastAsia="Arial" w:cs="Arial"/>
                <w:sz w:val="20"/>
                <w:szCs w:val="20"/>
              </w:rPr>
              <w:t xml:space="preserve">Recht auf Beschwerde an die Aufsichtsbehörde bei Datenschutzverstößen </w:t>
            </w:r>
          </w:p>
        </w:tc>
      </w:tr>
      <w:tr w:rsidR="009B1F2F" w14:paraId="67A01B20" w14:textId="77777777" w:rsidTr="007A528D">
        <w:tc>
          <w:tcPr>
            <w:tcW w:w="2088" w:type="pct"/>
            <w:tcMar>
              <w:top w:w="57" w:type="dxa"/>
              <w:left w:w="57" w:type="dxa"/>
              <w:bottom w:w="57" w:type="dxa"/>
              <w:right w:w="57" w:type="dxa"/>
            </w:tcMar>
          </w:tcPr>
          <w:p w14:paraId="74CC7195" w14:textId="77777777" w:rsidR="008D52A0" w:rsidRPr="00987D68" w:rsidRDefault="008D52A0" w:rsidP="001A16DE">
            <w:pPr>
              <w:rPr>
                <w:rFonts w:eastAsia="Arial" w:cs="Arial"/>
                <w:b/>
                <w:bCs/>
              </w:rPr>
            </w:pPr>
            <w:r w:rsidRPr="00987D68">
              <w:rPr>
                <w:rFonts w:eastAsia="Arial" w:cs="Arial"/>
                <w:b/>
                <w:bCs/>
              </w:rPr>
              <w:t>Zuständige Aufsichtsbehörde</w:t>
            </w:r>
          </w:p>
          <w:p w14:paraId="622E5D22" w14:textId="77777777" w:rsidR="008D52A0" w:rsidRPr="007A528D" w:rsidRDefault="008D52A0" w:rsidP="001A16DE">
            <w:pPr>
              <w:rPr>
                <w:rFonts w:eastAsia="Arial" w:cs="Arial"/>
                <w:iCs/>
                <w:sz w:val="16"/>
                <w:szCs w:val="16"/>
              </w:rPr>
            </w:pPr>
            <w:r w:rsidRPr="007A528D">
              <w:rPr>
                <w:rFonts w:eastAsia="Arial" w:cs="Arial"/>
                <w:iCs/>
                <w:sz w:val="16"/>
                <w:szCs w:val="16"/>
              </w:rPr>
              <w:t>(Bezeichnung, Postansc</w:t>
            </w:r>
            <w:r w:rsidR="008D5D41" w:rsidRPr="007A528D">
              <w:rPr>
                <w:rFonts w:eastAsia="Arial" w:cs="Arial"/>
                <w:iCs/>
                <w:sz w:val="16"/>
                <w:szCs w:val="16"/>
              </w:rPr>
              <w:t>hrift, Telefon, Email, Homepage)</w:t>
            </w:r>
          </w:p>
        </w:tc>
        <w:tc>
          <w:tcPr>
            <w:tcW w:w="2912" w:type="pct"/>
            <w:tcMar>
              <w:top w:w="57" w:type="dxa"/>
              <w:left w:w="57" w:type="dxa"/>
              <w:bottom w:w="57" w:type="dxa"/>
              <w:right w:w="57" w:type="dxa"/>
            </w:tcMar>
          </w:tcPr>
          <w:p w14:paraId="27B7D2DF" w14:textId="77777777" w:rsidR="008D5D41" w:rsidRPr="006D28B3" w:rsidRDefault="008D52A0" w:rsidP="001A16DE">
            <w:pPr>
              <w:rPr>
                <w:rFonts w:eastAsia="Arial" w:cs="Arial"/>
                <w:sz w:val="20"/>
                <w:szCs w:val="20"/>
              </w:rPr>
            </w:pPr>
            <w:bookmarkStart w:id="5" w:name="Textbox11"/>
            <w:bookmarkEnd w:id="5"/>
            <w:r w:rsidRPr="006D28B3">
              <w:rPr>
                <w:rFonts w:eastAsia="Arial" w:cs="Arial"/>
                <w:sz w:val="20"/>
                <w:szCs w:val="20"/>
              </w:rPr>
              <w:t xml:space="preserve">Landesbeauftragte für Datenschutz und </w:t>
            </w:r>
          </w:p>
          <w:p w14:paraId="52216F9B" w14:textId="77777777" w:rsidR="008D52A0" w:rsidRPr="006D28B3" w:rsidRDefault="008D52A0" w:rsidP="001A16DE">
            <w:pPr>
              <w:rPr>
                <w:rFonts w:eastAsia="Arial" w:cs="Arial"/>
                <w:sz w:val="20"/>
                <w:szCs w:val="20"/>
              </w:rPr>
            </w:pPr>
            <w:r w:rsidRPr="006D28B3">
              <w:rPr>
                <w:rFonts w:eastAsia="Arial" w:cs="Arial"/>
                <w:sz w:val="20"/>
                <w:szCs w:val="20"/>
              </w:rPr>
              <w:t>Informationsfreiheit Nordrhein-Westfalen</w:t>
            </w:r>
          </w:p>
          <w:p w14:paraId="67C368CB" w14:textId="77777777" w:rsidR="008D52A0" w:rsidRPr="006D28B3" w:rsidRDefault="008D52A0" w:rsidP="001A16DE">
            <w:pPr>
              <w:rPr>
                <w:rFonts w:eastAsia="Arial" w:cs="Arial"/>
                <w:sz w:val="20"/>
                <w:szCs w:val="20"/>
              </w:rPr>
            </w:pPr>
            <w:r w:rsidRPr="006D28B3">
              <w:rPr>
                <w:rFonts w:eastAsia="Arial" w:cs="Arial"/>
                <w:sz w:val="20"/>
                <w:szCs w:val="20"/>
              </w:rPr>
              <w:t>Kavalleriestraße 2 - 4</w:t>
            </w:r>
          </w:p>
          <w:p w14:paraId="4E982BA1" w14:textId="77777777" w:rsidR="008D52A0" w:rsidRPr="006D28B3" w:rsidRDefault="008D52A0" w:rsidP="00226FEC">
            <w:pPr>
              <w:rPr>
                <w:rFonts w:eastAsia="Arial" w:cs="Arial"/>
                <w:sz w:val="20"/>
                <w:szCs w:val="20"/>
              </w:rPr>
            </w:pPr>
            <w:r w:rsidRPr="006D28B3">
              <w:rPr>
                <w:rFonts w:eastAsia="Arial" w:cs="Arial"/>
                <w:sz w:val="20"/>
                <w:szCs w:val="20"/>
              </w:rPr>
              <w:t>40213 Düsseldorf</w:t>
            </w:r>
          </w:p>
          <w:p w14:paraId="3ECEB14E" w14:textId="77777777" w:rsidR="004A5211" w:rsidRPr="006D28B3" w:rsidRDefault="004A5211" w:rsidP="004A5211">
            <w:pPr>
              <w:rPr>
                <w:rFonts w:eastAsia="Arial" w:cs="Arial"/>
                <w:sz w:val="20"/>
                <w:szCs w:val="20"/>
              </w:rPr>
            </w:pPr>
            <w:r w:rsidRPr="006D28B3">
              <w:rPr>
                <w:rFonts w:eastAsia="Arial" w:cs="Arial"/>
                <w:sz w:val="20"/>
                <w:szCs w:val="20"/>
              </w:rPr>
              <w:t>Tel.: 0211/38424-0</w:t>
            </w:r>
          </w:p>
          <w:p w14:paraId="1A74D3CE" w14:textId="77777777" w:rsidR="004A5211" w:rsidRPr="006D28B3" w:rsidRDefault="004A5211" w:rsidP="004A5211">
            <w:pPr>
              <w:rPr>
                <w:rFonts w:eastAsia="Arial" w:cs="Arial"/>
                <w:sz w:val="20"/>
                <w:szCs w:val="20"/>
              </w:rPr>
            </w:pPr>
            <w:r w:rsidRPr="006D28B3">
              <w:rPr>
                <w:rFonts w:eastAsia="Arial" w:cs="Arial"/>
                <w:sz w:val="20"/>
                <w:szCs w:val="20"/>
              </w:rPr>
              <w:t>Fax: 0211/38424-10</w:t>
            </w:r>
          </w:p>
          <w:p w14:paraId="0EEE50D8" w14:textId="77777777" w:rsidR="004A5211" w:rsidRPr="006D28B3" w:rsidRDefault="004A5211" w:rsidP="004A5211">
            <w:pPr>
              <w:rPr>
                <w:rFonts w:eastAsia="Arial" w:cs="Arial"/>
                <w:sz w:val="20"/>
                <w:szCs w:val="20"/>
              </w:rPr>
            </w:pPr>
            <w:r w:rsidRPr="006D28B3">
              <w:rPr>
                <w:rFonts w:eastAsia="Arial" w:cs="Arial"/>
                <w:sz w:val="20"/>
                <w:szCs w:val="20"/>
              </w:rPr>
              <w:t>E-Mail: poststelle@ldi.nrw.de</w:t>
            </w:r>
          </w:p>
        </w:tc>
      </w:tr>
    </w:tbl>
    <w:p w14:paraId="043D7E5C" w14:textId="77777777" w:rsidR="006D28B3" w:rsidRDefault="006D28B3" w:rsidP="006D28B3"/>
    <w:p w14:paraId="462539D5" w14:textId="77777777" w:rsidR="009F496F" w:rsidRPr="006D28B3" w:rsidRDefault="006D28B3" w:rsidP="006D28B3">
      <w:pPr>
        <w:ind w:left="708"/>
        <w:rPr>
          <w:sz w:val="20"/>
          <w:szCs w:val="20"/>
        </w:rPr>
      </w:pPr>
      <w:r w:rsidRPr="006D28B3">
        <w:rPr>
          <w:sz w:val="20"/>
          <w:szCs w:val="20"/>
        </w:rPr>
        <w:t>Eine Informationspflicht bei der Erhebung personenbezogener Daten bei Dritten (bspw. Eignungsnachweise dritter Personen) besteht nach Artikel 14 Abs. 5 Buchstabe c) DSGVO nicht, da die Datenerhebung im Rahmen des Vergabeverfahrens ausdrücklich geregelt ist und dort zum Schutz der Interessen der betroffenen Personen eine vertrauliche Behandlung der Daten vorgesehen ist (§ 55 Landeshaushaltsordnung NRW, §§ 3, 6 Unterschwellenvergabeordnung).</w:t>
      </w:r>
    </w:p>
    <w:sectPr w:rsidR="009F496F" w:rsidRPr="006D28B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9E05" w14:textId="77777777" w:rsidR="00625402" w:rsidRDefault="00625402" w:rsidP="003F63C4">
      <w:r>
        <w:separator/>
      </w:r>
    </w:p>
  </w:endnote>
  <w:endnote w:type="continuationSeparator" w:id="0">
    <w:p w14:paraId="13F9498A" w14:textId="77777777" w:rsidR="00625402" w:rsidRDefault="00625402" w:rsidP="003F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F1F3" w14:textId="77777777" w:rsidR="009B084C" w:rsidRDefault="009B0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310C" w14:textId="77777777" w:rsidR="00D07AC2" w:rsidRDefault="00E364F3">
    <w:pPr>
      <w:pStyle w:val="Fuzeile"/>
      <w:rPr>
        <w:rFonts w:asciiTheme="majorHAnsi" w:hAnsiTheme="majorHAnsi" w:cstheme="majorHAnsi"/>
      </w:rPr>
    </w:pPr>
    <w:r>
      <w:rPr>
        <w:rFonts w:asciiTheme="majorHAnsi" w:hAnsiTheme="majorHAnsi" w:cstheme="majorHAnsi"/>
      </w:rPr>
      <w:t xml:space="preserve">   </w:t>
    </w:r>
    <w:r w:rsidR="00D07AC2">
      <w:rPr>
        <w:rFonts w:asciiTheme="majorHAnsi" w:hAnsiTheme="majorHAnsi" w:cstheme="majorHAnsi"/>
      </w:rPr>
      <w:t xml:space="preserve">     </w:t>
    </w:r>
    <w:r w:rsidR="00D07AC2" w:rsidRPr="00D276C5">
      <w:rPr>
        <w:noProof/>
        <w:lang w:eastAsia="de-DE"/>
      </w:rPr>
      <w:drawing>
        <wp:inline distT="0" distB="0" distL="0" distR="0" wp14:anchorId="485EE6BC" wp14:editId="7BC69C60">
          <wp:extent cx="1332000" cy="32400"/>
          <wp:effectExtent l="0" t="0" r="1905" b="5715"/>
          <wp:docPr id="2" name="Grafik 2" descr="V:\Vordruck\Logo\Strich_45-Grad_schwa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Vordruck\Logo\Strich_45-Grad_schwar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32400"/>
                  </a:xfrm>
                  <a:prstGeom prst="rect">
                    <a:avLst/>
                  </a:prstGeom>
                  <a:noFill/>
                  <a:ln>
                    <a:noFill/>
                  </a:ln>
                </pic:spPr>
              </pic:pic>
            </a:graphicData>
          </a:graphic>
        </wp:inline>
      </w:drawing>
    </w:r>
    <w:r>
      <w:rPr>
        <w:rFonts w:asciiTheme="majorHAnsi" w:hAnsiTheme="majorHAnsi" w:cstheme="majorHAnsi"/>
      </w:rPr>
      <w:t xml:space="preserve">     </w:t>
    </w:r>
  </w:p>
  <w:p w14:paraId="320E42F2" w14:textId="77777777" w:rsidR="00D07AC2" w:rsidRDefault="00D07AC2">
    <w:pPr>
      <w:pStyle w:val="Fuzeile"/>
      <w:rPr>
        <w:rFonts w:asciiTheme="majorHAnsi" w:hAnsiTheme="majorHAnsi" w:cstheme="majorHAnsi"/>
      </w:rPr>
    </w:pPr>
  </w:p>
  <w:p w14:paraId="682B107C" w14:textId="77777777" w:rsidR="00515077" w:rsidRDefault="00D07AC2">
    <w:pPr>
      <w:pStyle w:val="Fuzeile"/>
      <w:rPr>
        <w:rFonts w:asciiTheme="majorHAnsi" w:hAnsiTheme="majorHAnsi" w:cstheme="majorHAnsi"/>
        <w:bCs/>
      </w:rPr>
    </w:pPr>
    <w:r>
      <w:rPr>
        <w:rFonts w:asciiTheme="majorHAnsi" w:hAnsiTheme="majorHAnsi" w:cstheme="majorHAnsi"/>
      </w:rPr>
      <w:t xml:space="preserve">       </w:t>
    </w:r>
    <w:r w:rsidR="00C879B9">
      <w:rPr>
        <w:rFonts w:asciiTheme="majorHAnsi" w:hAnsiTheme="majorHAnsi" w:cstheme="majorHAnsi"/>
      </w:rPr>
      <w:t xml:space="preserve"> </w:t>
    </w:r>
    <w:r w:rsidR="00515077" w:rsidRPr="00515077">
      <w:rPr>
        <w:rFonts w:asciiTheme="majorHAnsi" w:hAnsiTheme="majorHAnsi" w:cstheme="majorHAnsi"/>
      </w:rPr>
      <w:t>Stadt Bochum</w:t>
    </w:r>
    <w:r w:rsidR="00515077" w:rsidRPr="00515077">
      <w:rPr>
        <w:rFonts w:asciiTheme="majorHAnsi" w:hAnsiTheme="majorHAnsi" w:cstheme="majorHAnsi"/>
        <w:bCs/>
      </w:rPr>
      <w:t>, 44777 Bochum</w:t>
    </w:r>
  </w:p>
  <w:p w14:paraId="57244554"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sidRPr="00515077">
      <w:rPr>
        <w:rFonts w:asciiTheme="majorHAnsi" w:hAnsiTheme="majorHAnsi" w:cstheme="majorHAnsi"/>
      </w:rPr>
      <w:t>Telefonzentrale: 0234 / 910-0</w:t>
    </w:r>
  </w:p>
  <w:p w14:paraId="25849104"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sidRPr="00515077">
      <w:rPr>
        <w:rFonts w:asciiTheme="majorHAnsi" w:hAnsiTheme="majorHAnsi" w:cstheme="majorHAnsi"/>
      </w:rPr>
      <w:t>Zentrales Telefaxgerät: 0234 / 910-36 43</w:t>
    </w:r>
  </w:p>
  <w:p w14:paraId="69BC16B3"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Pr>
        <w:rFonts w:asciiTheme="majorHAnsi" w:hAnsiTheme="majorHAnsi" w:cstheme="majorHAnsi"/>
      </w:rPr>
      <w:t xml:space="preserve">Homepage </w:t>
    </w:r>
    <w:hyperlink r:id="rId2" w:history="1">
      <w:r w:rsidR="00515077" w:rsidRPr="00CD1861">
        <w:rPr>
          <w:rStyle w:val="Hyperlink"/>
          <w:rFonts w:asciiTheme="majorHAnsi" w:hAnsiTheme="majorHAnsi" w:cstheme="majorHAnsi"/>
        </w:rPr>
        <w:t>www.bochum.de</w:t>
      </w:r>
    </w:hyperlink>
  </w:p>
  <w:p w14:paraId="6FBFBF78" w14:textId="77777777" w:rsidR="00515077" w:rsidRPr="00515077" w:rsidRDefault="00515077">
    <w:pPr>
      <w:pStyle w:val="Fuzeile"/>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44F" w14:textId="77777777" w:rsidR="009B084C" w:rsidRDefault="009B0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D4B1" w14:textId="77777777" w:rsidR="00625402" w:rsidRDefault="00625402" w:rsidP="003F63C4">
      <w:r>
        <w:separator/>
      </w:r>
    </w:p>
  </w:footnote>
  <w:footnote w:type="continuationSeparator" w:id="0">
    <w:p w14:paraId="2064AAD3" w14:textId="77777777" w:rsidR="00625402" w:rsidRDefault="00625402" w:rsidP="003F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FB6F" w14:textId="77777777" w:rsidR="00F8526D" w:rsidRDefault="00F852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845A" w14:textId="77777777" w:rsidR="00515077" w:rsidRDefault="00C0484C" w:rsidP="00C0484C">
    <w:pPr>
      <w:pStyle w:val="Kopfzeile"/>
      <w:ind w:left="-284"/>
    </w:pPr>
    <w:r>
      <w:t xml:space="preserve"> </w:t>
    </w:r>
    <w:r w:rsidR="00515077">
      <w:rPr>
        <w:noProof/>
        <w:lang w:eastAsia="de-DE"/>
      </w:rPr>
      <w:drawing>
        <wp:inline distT="0" distB="0" distL="0" distR="0" wp14:anchorId="11A0B861" wp14:editId="5DCE2499">
          <wp:extent cx="1818000" cy="601200"/>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tadt Bochum_schwarz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5B2F" w14:textId="77777777" w:rsidR="00F8526D" w:rsidRDefault="00F852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E62048"/>
    <w:multiLevelType w:val="hybridMultilevel"/>
    <w:tmpl w:val="98546350"/>
    <w:lvl w:ilvl="0" w:tplc="112076BE">
      <w:numFmt w:val="bullet"/>
      <w:lvlText w:val=""/>
      <w:lvlJc w:val="left"/>
      <w:pPr>
        <w:ind w:left="360" w:hanging="360"/>
      </w:pPr>
      <w:rPr>
        <w:rFonts w:ascii="Wingdings" w:eastAsia="Wingdings" w:hAnsi="Wingdings" w:cs="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A03BE9"/>
    <w:multiLevelType w:val="singleLevel"/>
    <w:tmpl w:val="112076BE"/>
    <w:name w:val="Bullet 1"/>
    <w:lvl w:ilvl="0">
      <w:numFmt w:val="bullet"/>
      <w:lvlText w:val=""/>
      <w:lvlJc w:val="left"/>
      <w:pPr>
        <w:ind w:left="0" w:firstLine="0"/>
      </w:pPr>
      <w:rPr>
        <w:rFonts w:ascii="Wingdings" w:eastAsia="Wingdings" w:hAnsi="Wingdings" w:cs="Wingdings"/>
      </w:rPr>
    </w:lvl>
  </w:abstractNum>
  <w:num w:numId="1" w16cid:durableId="1388802143">
    <w:abstractNumId w:val="9"/>
  </w:num>
  <w:num w:numId="2" w16cid:durableId="123041929">
    <w:abstractNumId w:val="8"/>
  </w:num>
  <w:num w:numId="3" w16cid:durableId="1504202849">
    <w:abstractNumId w:val="7"/>
  </w:num>
  <w:num w:numId="4" w16cid:durableId="497500871">
    <w:abstractNumId w:val="6"/>
  </w:num>
  <w:num w:numId="5" w16cid:durableId="917248068">
    <w:abstractNumId w:val="5"/>
  </w:num>
  <w:num w:numId="6" w16cid:durableId="1272594486">
    <w:abstractNumId w:val="4"/>
  </w:num>
  <w:num w:numId="7" w16cid:durableId="1016880144">
    <w:abstractNumId w:val="3"/>
  </w:num>
  <w:num w:numId="8" w16cid:durableId="797534338">
    <w:abstractNumId w:val="2"/>
  </w:num>
  <w:num w:numId="9" w16cid:durableId="503085387">
    <w:abstractNumId w:val="1"/>
  </w:num>
  <w:num w:numId="10" w16cid:durableId="762577117">
    <w:abstractNumId w:val="0"/>
  </w:num>
  <w:num w:numId="11" w16cid:durableId="1571308696">
    <w:abstractNumId w:val="11"/>
  </w:num>
  <w:num w:numId="12" w16cid:durableId="400912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0"/>
    <w:rsid w:val="00005B19"/>
    <w:rsid w:val="0001653C"/>
    <w:rsid w:val="000217F0"/>
    <w:rsid w:val="00025417"/>
    <w:rsid w:val="0003105D"/>
    <w:rsid w:val="00031DF0"/>
    <w:rsid w:val="000649CD"/>
    <w:rsid w:val="000678B0"/>
    <w:rsid w:val="00070AAE"/>
    <w:rsid w:val="000750B2"/>
    <w:rsid w:val="000907BE"/>
    <w:rsid w:val="0009457F"/>
    <w:rsid w:val="000A7E87"/>
    <w:rsid w:val="000B09E7"/>
    <w:rsid w:val="000B283C"/>
    <w:rsid w:val="000B5AB0"/>
    <w:rsid w:val="000F171C"/>
    <w:rsid w:val="001076EE"/>
    <w:rsid w:val="00107728"/>
    <w:rsid w:val="0011155D"/>
    <w:rsid w:val="001264DB"/>
    <w:rsid w:val="00127729"/>
    <w:rsid w:val="0013380F"/>
    <w:rsid w:val="00135DBB"/>
    <w:rsid w:val="00143284"/>
    <w:rsid w:val="00157C4F"/>
    <w:rsid w:val="001644D8"/>
    <w:rsid w:val="00164904"/>
    <w:rsid w:val="001654A1"/>
    <w:rsid w:val="00166F4A"/>
    <w:rsid w:val="001718CD"/>
    <w:rsid w:val="00175A5B"/>
    <w:rsid w:val="00175FDE"/>
    <w:rsid w:val="00177465"/>
    <w:rsid w:val="0018118D"/>
    <w:rsid w:val="00184022"/>
    <w:rsid w:val="00185C6B"/>
    <w:rsid w:val="001C3F61"/>
    <w:rsid w:val="001D149D"/>
    <w:rsid w:val="001D1B5F"/>
    <w:rsid w:val="001D3A09"/>
    <w:rsid w:val="001F550E"/>
    <w:rsid w:val="00206A41"/>
    <w:rsid w:val="00226FEC"/>
    <w:rsid w:val="00251886"/>
    <w:rsid w:val="00252253"/>
    <w:rsid w:val="002B3398"/>
    <w:rsid w:val="002D3A57"/>
    <w:rsid w:val="002D6B09"/>
    <w:rsid w:val="002D7CB1"/>
    <w:rsid w:val="002E6282"/>
    <w:rsid w:val="00306691"/>
    <w:rsid w:val="0031175E"/>
    <w:rsid w:val="003122A5"/>
    <w:rsid w:val="003141EE"/>
    <w:rsid w:val="0032651E"/>
    <w:rsid w:val="003368B9"/>
    <w:rsid w:val="00342794"/>
    <w:rsid w:val="003510C3"/>
    <w:rsid w:val="00354525"/>
    <w:rsid w:val="00365BAB"/>
    <w:rsid w:val="003937F4"/>
    <w:rsid w:val="003A6CC2"/>
    <w:rsid w:val="003B64A7"/>
    <w:rsid w:val="003C1A0D"/>
    <w:rsid w:val="003C53F9"/>
    <w:rsid w:val="003D0A41"/>
    <w:rsid w:val="003D1380"/>
    <w:rsid w:val="003D363A"/>
    <w:rsid w:val="003E1D43"/>
    <w:rsid w:val="003F4000"/>
    <w:rsid w:val="003F58AA"/>
    <w:rsid w:val="003F63C4"/>
    <w:rsid w:val="003F7873"/>
    <w:rsid w:val="004045F2"/>
    <w:rsid w:val="00406EE4"/>
    <w:rsid w:val="00412152"/>
    <w:rsid w:val="00465931"/>
    <w:rsid w:val="00470A57"/>
    <w:rsid w:val="004A1F02"/>
    <w:rsid w:val="004A5211"/>
    <w:rsid w:val="004C22D9"/>
    <w:rsid w:val="004C42D0"/>
    <w:rsid w:val="004D32C1"/>
    <w:rsid w:val="004F39BA"/>
    <w:rsid w:val="004F5CDE"/>
    <w:rsid w:val="00515077"/>
    <w:rsid w:val="00515C55"/>
    <w:rsid w:val="005307BA"/>
    <w:rsid w:val="0053378F"/>
    <w:rsid w:val="00535DF0"/>
    <w:rsid w:val="00536449"/>
    <w:rsid w:val="00542041"/>
    <w:rsid w:val="0057710B"/>
    <w:rsid w:val="00591219"/>
    <w:rsid w:val="00593CB0"/>
    <w:rsid w:val="005A373A"/>
    <w:rsid w:val="005B10C9"/>
    <w:rsid w:val="005B4479"/>
    <w:rsid w:val="005D556A"/>
    <w:rsid w:val="005D5695"/>
    <w:rsid w:val="005E5020"/>
    <w:rsid w:val="006069C2"/>
    <w:rsid w:val="006105CB"/>
    <w:rsid w:val="00620FCE"/>
    <w:rsid w:val="00622917"/>
    <w:rsid w:val="00625402"/>
    <w:rsid w:val="00632C08"/>
    <w:rsid w:val="006364E6"/>
    <w:rsid w:val="006420AC"/>
    <w:rsid w:val="0065485E"/>
    <w:rsid w:val="0068349A"/>
    <w:rsid w:val="00690362"/>
    <w:rsid w:val="00692908"/>
    <w:rsid w:val="00695E77"/>
    <w:rsid w:val="006A7A88"/>
    <w:rsid w:val="006D28B3"/>
    <w:rsid w:val="006D3F5D"/>
    <w:rsid w:val="006D5462"/>
    <w:rsid w:val="006E0699"/>
    <w:rsid w:val="006F11FE"/>
    <w:rsid w:val="006F317E"/>
    <w:rsid w:val="00711EB7"/>
    <w:rsid w:val="00716271"/>
    <w:rsid w:val="00723F52"/>
    <w:rsid w:val="00726834"/>
    <w:rsid w:val="0073420D"/>
    <w:rsid w:val="007419CC"/>
    <w:rsid w:val="00741AD8"/>
    <w:rsid w:val="007647FE"/>
    <w:rsid w:val="00767B64"/>
    <w:rsid w:val="00771F0C"/>
    <w:rsid w:val="00774967"/>
    <w:rsid w:val="00780E2A"/>
    <w:rsid w:val="00795193"/>
    <w:rsid w:val="007967D4"/>
    <w:rsid w:val="007A528D"/>
    <w:rsid w:val="007D15F4"/>
    <w:rsid w:val="007D7DB9"/>
    <w:rsid w:val="00801238"/>
    <w:rsid w:val="00803EC1"/>
    <w:rsid w:val="008162A8"/>
    <w:rsid w:val="00822555"/>
    <w:rsid w:val="0083681F"/>
    <w:rsid w:val="00837186"/>
    <w:rsid w:val="00841CF1"/>
    <w:rsid w:val="00845F66"/>
    <w:rsid w:val="00851395"/>
    <w:rsid w:val="00871888"/>
    <w:rsid w:val="00885748"/>
    <w:rsid w:val="008857E9"/>
    <w:rsid w:val="008A58AD"/>
    <w:rsid w:val="008D52A0"/>
    <w:rsid w:val="008D5D41"/>
    <w:rsid w:val="008E008A"/>
    <w:rsid w:val="008E5992"/>
    <w:rsid w:val="008F4F35"/>
    <w:rsid w:val="00920C13"/>
    <w:rsid w:val="00924974"/>
    <w:rsid w:val="009279C4"/>
    <w:rsid w:val="00944832"/>
    <w:rsid w:val="00950203"/>
    <w:rsid w:val="0096709E"/>
    <w:rsid w:val="00967D9A"/>
    <w:rsid w:val="00987D68"/>
    <w:rsid w:val="00994651"/>
    <w:rsid w:val="0099762B"/>
    <w:rsid w:val="009B084C"/>
    <w:rsid w:val="009B1F2F"/>
    <w:rsid w:val="009C0053"/>
    <w:rsid w:val="009C5B01"/>
    <w:rsid w:val="009D010E"/>
    <w:rsid w:val="009D46A0"/>
    <w:rsid w:val="009D64DF"/>
    <w:rsid w:val="009E40A8"/>
    <w:rsid w:val="009F496F"/>
    <w:rsid w:val="00A0009E"/>
    <w:rsid w:val="00A15104"/>
    <w:rsid w:val="00A20D11"/>
    <w:rsid w:val="00A23C9C"/>
    <w:rsid w:val="00A459CC"/>
    <w:rsid w:val="00A63933"/>
    <w:rsid w:val="00A64217"/>
    <w:rsid w:val="00A74DF0"/>
    <w:rsid w:val="00AB024B"/>
    <w:rsid w:val="00AC1464"/>
    <w:rsid w:val="00AF63A9"/>
    <w:rsid w:val="00B109DE"/>
    <w:rsid w:val="00B123D7"/>
    <w:rsid w:val="00B2133A"/>
    <w:rsid w:val="00B216F6"/>
    <w:rsid w:val="00B50D58"/>
    <w:rsid w:val="00B7497F"/>
    <w:rsid w:val="00B81ED3"/>
    <w:rsid w:val="00B90F96"/>
    <w:rsid w:val="00BB1704"/>
    <w:rsid w:val="00BB4C07"/>
    <w:rsid w:val="00BB52C7"/>
    <w:rsid w:val="00BB6611"/>
    <w:rsid w:val="00BC6611"/>
    <w:rsid w:val="00BF18F6"/>
    <w:rsid w:val="00BF7361"/>
    <w:rsid w:val="00C0412A"/>
    <w:rsid w:val="00C0484C"/>
    <w:rsid w:val="00C05CD7"/>
    <w:rsid w:val="00C323DF"/>
    <w:rsid w:val="00C44442"/>
    <w:rsid w:val="00C52569"/>
    <w:rsid w:val="00C62439"/>
    <w:rsid w:val="00C66C10"/>
    <w:rsid w:val="00C67CDA"/>
    <w:rsid w:val="00C707E1"/>
    <w:rsid w:val="00C74525"/>
    <w:rsid w:val="00C879B9"/>
    <w:rsid w:val="00C93BAE"/>
    <w:rsid w:val="00C93C9F"/>
    <w:rsid w:val="00C96FE8"/>
    <w:rsid w:val="00CB68B2"/>
    <w:rsid w:val="00CC03C0"/>
    <w:rsid w:val="00CC7BAA"/>
    <w:rsid w:val="00CD2A44"/>
    <w:rsid w:val="00CF147F"/>
    <w:rsid w:val="00CF296E"/>
    <w:rsid w:val="00D07AC2"/>
    <w:rsid w:val="00D1473A"/>
    <w:rsid w:val="00D2115A"/>
    <w:rsid w:val="00D276C5"/>
    <w:rsid w:val="00D50E37"/>
    <w:rsid w:val="00D54970"/>
    <w:rsid w:val="00D75A36"/>
    <w:rsid w:val="00D761CA"/>
    <w:rsid w:val="00D917FD"/>
    <w:rsid w:val="00DB3084"/>
    <w:rsid w:val="00DC49DB"/>
    <w:rsid w:val="00DD7A32"/>
    <w:rsid w:val="00DE2A3B"/>
    <w:rsid w:val="00DF00EC"/>
    <w:rsid w:val="00DF455F"/>
    <w:rsid w:val="00E04F98"/>
    <w:rsid w:val="00E12B18"/>
    <w:rsid w:val="00E2378B"/>
    <w:rsid w:val="00E24AAA"/>
    <w:rsid w:val="00E32BD6"/>
    <w:rsid w:val="00E33A75"/>
    <w:rsid w:val="00E364F3"/>
    <w:rsid w:val="00E46346"/>
    <w:rsid w:val="00E46359"/>
    <w:rsid w:val="00E80E8F"/>
    <w:rsid w:val="00E84A26"/>
    <w:rsid w:val="00EA7580"/>
    <w:rsid w:val="00EB278D"/>
    <w:rsid w:val="00EB39FB"/>
    <w:rsid w:val="00EB6BB1"/>
    <w:rsid w:val="00EC25BF"/>
    <w:rsid w:val="00EC52DF"/>
    <w:rsid w:val="00EF0858"/>
    <w:rsid w:val="00EF11C0"/>
    <w:rsid w:val="00F04249"/>
    <w:rsid w:val="00F26262"/>
    <w:rsid w:val="00F412A5"/>
    <w:rsid w:val="00F515CC"/>
    <w:rsid w:val="00F55DEE"/>
    <w:rsid w:val="00F57671"/>
    <w:rsid w:val="00F73843"/>
    <w:rsid w:val="00F813F9"/>
    <w:rsid w:val="00F8526D"/>
    <w:rsid w:val="00F947AE"/>
    <w:rsid w:val="00F9481F"/>
    <w:rsid w:val="00FA6BB3"/>
    <w:rsid w:val="00FB0C75"/>
    <w:rsid w:val="00FC6886"/>
    <w:rsid w:val="00FC6EB1"/>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B3354"/>
  <w15:chartTrackingRefBased/>
  <w15:docId w15:val="{76E1E26A-3A5E-4083-942B-9B345154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52A0"/>
    <w:pPr>
      <w:widowControl w:val="0"/>
      <w:spacing w:after="0" w:line="240" w:lineRule="auto"/>
    </w:p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852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5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ochum.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bochum.d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81AC-1D9F-4163-8BA9-3137EFB4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Grahner</dc:creator>
  <cp:keywords/>
  <dc:description/>
  <cp:lastModifiedBy>Tyedmers, Christopher</cp:lastModifiedBy>
  <cp:revision>9</cp:revision>
  <cp:lastPrinted>2018-02-28T07:51:00Z</cp:lastPrinted>
  <dcterms:created xsi:type="dcterms:W3CDTF">2019-12-04T13:34:00Z</dcterms:created>
  <dcterms:modified xsi:type="dcterms:W3CDTF">2025-12-11T12:56:00Z</dcterms:modified>
</cp:coreProperties>
</file>