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5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sadensanierung GE43 &amp; GE44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sadensanier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