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5C" w:rsidRPr="00193AAF" w:rsidRDefault="0024065C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</w:t>
      </w:r>
      <w:proofErr w:type="spellStart"/>
      <w:r w:rsidRPr="00FE6C48">
        <w:rPr>
          <w:rFonts w:ascii="Arial" w:hAnsi="Arial" w:cs="Arial"/>
        </w:rPr>
        <w:t>MiLoG</w:t>
      </w:r>
      <w:proofErr w:type="spellEnd"/>
      <w:r w:rsidRPr="00FE6C48">
        <w:rPr>
          <w:rFonts w:ascii="Arial" w:hAnsi="Arial" w:cs="Arial"/>
        </w:rPr>
        <w:t>)</w:t>
      </w:r>
    </w:p>
    <w:p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3 </w:t>
      </w:r>
      <w:proofErr w:type="spellStart"/>
      <w:r w:rsidR="00200B62" w:rsidRPr="00FE6C48">
        <w:rPr>
          <w:rFonts w:ascii="Arial" w:eastAsiaTheme="minorHAnsi" w:hAnsi="Arial" w:cs="Arial"/>
          <w:sz w:val="20"/>
          <w:lang w:eastAsia="en-US"/>
        </w:rPr>
        <w:t>MiLoG</w:t>
      </w:r>
      <w:proofErr w:type="spellEnd"/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012A0">
        <w:rPr>
          <w:rStyle w:val="Funotenzeichen"/>
          <w:rFonts w:ascii="Arial" w:eastAsiaTheme="minorHAnsi" w:hAnsi="Arial" w:cs="Arial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</w:t>
      </w:r>
      <w:proofErr w:type="spellStart"/>
      <w:r w:rsidR="00200B62" w:rsidRPr="00FE6C48">
        <w:rPr>
          <w:rFonts w:ascii="Arial" w:eastAsiaTheme="minorHAnsi" w:hAnsi="Arial" w:cs="Arial"/>
          <w:sz w:val="20"/>
          <w:lang w:eastAsia="en-US"/>
        </w:rPr>
        <w:t>MiLoG</w:t>
      </w:r>
      <w:proofErr w:type="spellEnd"/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proofErr w:type="spellStart"/>
      <w:r w:rsidR="00200B62" w:rsidRPr="00FE6C48">
        <w:rPr>
          <w:rFonts w:ascii="Arial" w:eastAsiaTheme="minorHAnsi" w:hAnsi="Arial" w:cs="Arial"/>
          <w:sz w:val="20"/>
          <w:lang w:eastAsia="en-US"/>
        </w:rPr>
        <w:t>MiLoG</w:t>
      </w:r>
      <w:proofErr w:type="spellEnd"/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nicht vorliegen.</w:t>
      </w:r>
    </w:p>
    <w:p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:rsidTr="00EE7A0D">
        <w:trPr>
          <w:trHeight w:val="1627"/>
        </w:trPr>
        <w:tc>
          <w:tcPr>
            <w:tcW w:w="9493" w:type="dxa"/>
          </w:tcPr>
          <w:p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</w:t>
            </w:r>
            <w:proofErr w:type="spellStart"/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MiLoG</w:t>
            </w:r>
            <w:proofErr w:type="spellEnd"/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:rsidR="00BA70F6" w:rsidRDefault="00BA70F6" w:rsidP="00F5574A">
      <w:pPr>
        <w:ind w:right="-570"/>
        <w:rPr>
          <w:rFonts w:cs="Arial"/>
          <w:b/>
          <w:bCs/>
          <w:sz w:val="20"/>
        </w:rPr>
      </w:pPr>
    </w:p>
    <w:p w:rsidR="00200219" w:rsidRDefault="00200219" w:rsidP="00F5574A">
      <w:pPr>
        <w:ind w:right="-570"/>
        <w:rPr>
          <w:rFonts w:cs="Arial"/>
          <w:b/>
          <w:bCs/>
          <w:sz w:val="20"/>
        </w:rPr>
      </w:pPr>
    </w:p>
    <w:p w:rsidR="00200219" w:rsidRPr="00FE6C48" w:rsidRDefault="0020021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  <w:r>
        <w:rPr>
          <w:rFonts w:cs="Arial"/>
          <w:b/>
          <w:bCs/>
          <w:sz w:val="20"/>
        </w:rPr>
        <w:t>___________________________________________</w:t>
      </w:r>
    </w:p>
    <w:p w:rsidR="00977073" w:rsidRDefault="00200219" w:rsidP="00F557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Unterschrift in Textform nach § 126b BGB</w:t>
      </w:r>
    </w:p>
    <w:p w:rsidR="00200219" w:rsidRPr="00FD4B20" w:rsidRDefault="00200219" w:rsidP="00F557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durch Angabe des Erklärenden</w:t>
      </w:r>
    </w:p>
    <w:sectPr w:rsidR="00200219" w:rsidRPr="00FD4B20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75C" w:rsidRDefault="008B675C">
      <w:r>
        <w:separator/>
      </w:r>
    </w:p>
  </w:endnote>
  <w:endnote w:type="continuationSeparator" w:id="0">
    <w:p w:rsidR="008B675C" w:rsidRDefault="008B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75C" w:rsidRDefault="008B675C">
      <w:r>
        <w:separator/>
      </w:r>
    </w:p>
  </w:footnote>
  <w:footnote w:type="continuationSeparator" w:id="0">
    <w:p w:rsidR="008B675C" w:rsidRDefault="008B675C">
      <w:r>
        <w:continuationSeparator/>
      </w:r>
    </w:p>
  </w:footnote>
  <w:footnote w:id="1">
    <w:p w:rsidR="001012A0" w:rsidRPr="00EE7A0D" w:rsidRDefault="001012A0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 xml:space="preserve">§ 19 Abs. 1 </w:t>
      </w:r>
      <w:proofErr w:type="spellStart"/>
      <w:r w:rsidRPr="00C415AC">
        <w:rPr>
          <w:rFonts w:ascii="Arial" w:hAnsi="Arial" w:cs="Arial"/>
          <w:sz w:val="16"/>
          <w:szCs w:val="16"/>
        </w:rPr>
        <w:t>MiLoG</w:t>
      </w:r>
      <w:proofErr w:type="spellEnd"/>
      <w:r w:rsidRPr="00C415AC">
        <w:rPr>
          <w:rFonts w:ascii="Arial" w:hAnsi="Arial" w:cs="Arial"/>
          <w:sz w:val="16"/>
          <w:szCs w:val="16"/>
        </w:rPr>
        <w:t>:</w:t>
      </w:r>
    </w:p>
    <w:p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proofErr w:type="spellStart"/>
      <w:r>
        <w:rPr>
          <w:rFonts w:ascii="Arial" w:hAnsi="Arial" w:cs="Arial"/>
          <w:sz w:val="16"/>
          <w:szCs w:val="16"/>
        </w:rPr>
        <w:t>MiLoG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  <w:p w:rsidR="00FE6C48" w:rsidRDefault="00FE6C4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</w:p>
  <w:p w:rsidR="002F1C36" w:rsidRDefault="00200219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1</w:t>
    </w:r>
    <w:r w:rsidR="002F1C36">
      <w:t>/</w:t>
    </w:r>
    <w:r>
      <w:t>2023</w:t>
    </w:r>
    <w:r w:rsidR="002F1C36">
      <w:tab/>
    </w:r>
    <w:r w:rsidR="00FE6C48">
      <w:t>Eigenerklärung Mindestlohngesetz</w:t>
    </w:r>
  </w:p>
  <w:p w:rsidR="00200219" w:rsidRDefault="00200219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ab/>
      <w:t>optionale Verwendung bei Direktaufträgen</w:t>
    </w:r>
  </w:p>
  <w:p w:rsidR="002F1C36" w:rsidRDefault="002F1C3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200219"/>
    <w:rsid w:val="00200B62"/>
    <w:rsid w:val="00226B9B"/>
    <w:rsid w:val="0024065C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D4CF2"/>
    <w:rsid w:val="0042774F"/>
    <w:rsid w:val="00497AC1"/>
    <w:rsid w:val="004A0383"/>
    <w:rsid w:val="004C76CC"/>
    <w:rsid w:val="00570895"/>
    <w:rsid w:val="00646D3A"/>
    <w:rsid w:val="006510D2"/>
    <w:rsid w:val="00676295"/>
    <w:rsid w:val="006D062A"/>
    <w:rsid w:val="006F0924"/>
    <w:rsid w:val="007163BC"/>
    <w:rsid w:val="007376BB"/>
    <w:rsid w:val="007922D7"/>
    <w:rsid w:val="007C5987"/>
    <w:rsid w:val="007F6E1D"/>
    <w:rsid w:val="0080718A"/>
    <w:rsid w:val="008249DB"/>
    <w:rsid w:val="00824DAD"/>
    <w:rsid w:val="00873474"/>
    <w:rsid w:val="008930C9"/>
    <w:rsid w:val="008A3274"/>
    <w:rsid w:val="008B675C"/>
    <w:rsid w:val="00930A39"/>
    <w:rsid w:val="0093162D"/>
    <w:rsid w:val="00977073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415AC"/>
    <w:rsid w:val="00CE2ACA"/>
    <w:rsid w:val="00CF318C"/>
    <w:rsid w:val="00D7668F"/>
    <w:rsid w:val="00D85D49"/>
    <w:rsid w:val="00DA4893"/>
    <w:rsid w:val="00E2142F"/>
    <w:rsid w:val="00ED5357"/>
    <w:rsid w:val="00EE7A0D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1C5C-7957-408C-8084-82585F7C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Trappe, Martina</cp:lastModifiedBy>
  <cp:revision>2</cp:revision>
  <cp:lastPrinted>2015-07-17T10:09:00Z</cp:lastPrinted>
  <dcterms:created xsi:type="dcterms:W3CDTF">2023-01-07T15:38:00Z</dcterms:created>
  <dcterms:modified xsi:type="dcterms:W3CDTF">2023-01-07T15:38:00Z</dcterms:modified>
</cp:coreProperties>
</file>