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rPr>
          <w:b/>
          <w:bCs/>
          <w:sz w:val="28"/>
          <w:szCs w:val="28"/>
        </w:rPr>
      </w:pPr>
      <w:r>
        <w:rPr>
          <w:noProof/>
        </w:rPr>
        <w:t xml:space="preserve"> </w:t>
      </w:r>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97pt;margin-top:-18pt;width:176.75pt;height:55.55pt;z-index:251659264;visibility:visible;mso-wrap-edited:f;mso-position-horizontal-relative:text;mso-position-vertical-relative:text">
            <v:imagedata r:id="rId8" o:title=""/>
            <w10:wrap type="topAndBottom"/>
          </v:shape>
          <o:OLEObject Type="Embed" ProgID="Word.Picture.8" ShapeID="_x0000_s1026" DrawAspect="Content" ObjectID="_1841905742" r:id="rId9"/>
        </w:object>
      </w:r>
    </w:p>
    <w:p>
      <w:pPr>
        <w:jc w:val="center"/>
        <w:rPr>
          <w:b/>
          <w:bCs/>
          <w:sz w:val="36"/>
          <w:szCs w:val="36"/>
        </w:rPr>
      </w:pPr>
      <w:r>
        <w:rPr>
          <w:b/>
          <w:bCs/>
          <w:sz w:val="36"/>
          <w:szCs w:val="36"/>
        </w:rPr>
        <w:t>Landkreis Göttingen</w:t>
      </w:r>
    </w:p>
    <w:p>
      <w:pPr>
        <w:jc w:val="center"/>
        <w:rPr>
          <w:b/>
          <w:bCs/>
          <w:sz w:val="24"/>
          <w:szCs w:val="24"/>
        </w:rPr>
      </w:pPr>
    </w:p>
    <w:p>
      <w:pPr>
        <w:jc w:val="center"/>
        <w:rPr>
          <w:sz w:val="28"/>
          <w:szCs w:val="28"/>
        </w:rPr>
      </w:pPr>
      <w:r>
        <w:rPr>
          <w:sz w:val="28"/>
          <w:szCs w:val="28"/>
        </w:rPr>
        <w:t>Offenes Vergabeverfahren</w:t>
      </w:r>
    </w:p>
    <w:p>
      <w:pPr>
        <w:pStyle w:val="Default"/>
        <w:jc w:val="center"/>
        <w:rPr>
          <w:rFonts w:asciiTheme="minorHAnsi" w:hAnsiTheme="minorHAnsi"/>
        </w:rPr>
      </w:pPr>
    </w:p>
    <w:p>
      <w:pPr>
        <w:autoSpaceDE w:val="0"/>
        <w:autoSpaceDN w:val="0"/>
        <w:adjustRightInd w:val="0"/>
        <w:jc w:val="center"/>
        <w:rPr>
          <w:rFonts w:cs="Arial"/>
          <w:b/>
          <w:bCs/>
          <w:sz w:val="36"/>
          <w:szCs w:val="36"/>
          <w:u w:val="single"/>
        </w:rPr>
      </w:pPr>
      <w:r>
        <w:rPr>
          <w:rFonts w:cs="Arial"/>
          <w:b/>
          <w:bCs/>
          <w:sz w:val="36"/>
          <w:szCs w:val="36"/>
          <w:u w:val="single"/>
        </w:rPr>
        <w:t>Sicherheitstechnische Betreuung der Beschäftigten der Kreisverwaltung Göttingen ab 01.01.2027</w:t>
      </w:r>
    </w:p>
    <w:p>
      <w:pPr>
        <w:rPr>
          <w:b/>
          <w:bCs/>
        </w:rPr>
      </w:pPr>
    </w:p>
    <w:p>
      <w:pPr>
        <w:rPr>
          <w:b/>
          <w:bCs/>
          <w:sz w:val="28"/>
          <w:szCs w:val="28"/>
          <w:u w:val="single"/>
        </w:rPr>
      </w:pPr>
    </w:p>
    <w:p>
      <w:pPr>
        <w:rPr>
          <w:b/>
          <w:bCs/>
          <w:sz w:val="28"/>
          <w:szCs w:val="28"/>
          <w:u w:val="single"/>
        </w:rPr>
      </w:pPr>
      <w:r>
        <w:rPr>
          <w:b/>
          <w:bCs/>
          <w:sz w:val="28"/>
          <w:szCs w:val="28"/>
          <w:u w:val="single"/>
        </w:rPr>
        <w:t>Leistungsbeschreibung</w:t>
      </w:r>
    </w:p>
    <w:p>
      <w:pPr>
        <w:rPr>
          <w:b/>
          <w:bCs/>
          <w:sz w:val="28"/>
          <w:szCs w:val="28"/>
          <w:u w:val="single"/>
        </w:rPr>
      </w:pPr>
    </w:p>
    <w:p>
      <w:pPr>
        <w:rPr>
          <w:b/>
          <w:bCs/>
        </w:rPr>
      </w:pPr>
    </w:p>
    <w:p>
      <w:pPr>
        <w:autoSpaceDE w:val="0"/>
        <w:autoSpaceDN w:val="0"/>
        <w:adjustRightInd w:val="0"/>
        <w:rPr>
          <w:rFonts w:cs="Arial"/>
          <w:b/>
          <w:bCs/>
        </w:rPr>
      </w:pPr>
      <w:r>
        <w:rPr>
          <w:rFonts w:cs="Arial"/>
          <w:b/>
          <w:bCs/>
          <w:bdr w:val="single" w:sz="4" w:space="0" w:color="auto"/>
        </w:rPr>
        <w:t>Teil A Vorbemerkungen/ Leistungsbeschreibung</w:t>
      </w:r>
    </w:p>
    <w:p>
      <w:pPr>
        <w:autoSpaceDE w:val="0"/>
        <w:autoSpaceDN w:val="0"/>
        <w:adjustRightInd w:val="0"/>
        <w:rPr>
          <w:rFonts w:cs="Arial"/>
          <w:bCs/>
        </w:rPr>
      </w:pPr>
    </w:p>
    <w:p>
      <w:pPr>
        <w:autoSpaceDE w:val="0"/>
        <w:autoSpaceDN w:val="0"/>
        <w:adjustRightInd w:val="0"/>
        <w:rPr>
          <w:rFonts w:cs="Arial"/>
          <w:bCs/>
        </w:rPr>
      </w:pPr>
      <w:r>
        <w:rPr>
          <w:rFonts w:cs="Arial"/>
          <w:bCs/>
        </w:rPr>
        <w:t>I. Allgemeines</w:t>
      </w:r>
    </w:p>
    <w:p>
      <w:pPr>
        <w:autoSpaceDE w:val="0"/>
        <w:autoSpaceDN w:val="0"/>
        <w:adjustRightInd w:val="0"/>
        <w:rPr>
          <w:rFonts w:cs="Arial"/>
          <w:bCs/>
        </w:rPr>
      </w:pPr>
      <w:r>
        <w:rPr>
          <w:rFonts w:cs="Arial"/>
          <w:bCs/>
        </w:rPr>
        <w:t>II. Vertragslaufzeit, Mustervertrag</w:t>
      </w:r>
    </w:p>
    <w:p>
      <w:pPr>
        <w:autoSpaceDE w:val="0"/>
        <w:autoSpaceDN w:val="0"/>
        <w:adjustRightInd w:val="0"/>
        <w:rPr>
          <w:rFonts w:cs="Arial"/>
          <w:bCs/>
        </w:rPr>
      </w:pPr>
      <w:r>
        <w:rPr>
          <w:rFonts w:cs="Arial"/>
          <w:bCs/>
        </w:rPr>
        <w:t>III. Leistungen des AN</w:t>
      </w:r>
    </w:p>
    <w:p>
      <w:pPr>
        <w:autoSpaceDE w:val="0"/>
        <w:autoSpaceDN w:val="0"/>
        <w:adjustRightInd w:val="0"/>
        <w:rPr>
          <w:rFonts w:cs="Arial"/>
        </w:rPr>
      </w:pPr>
      <w:r>
        <w:rPr>
          <w:rFonts w:cs="Arial"/>
        </w:rPr>
        <w:t>IV. Betreuungsumfang/ Einsatzzeiten</w:t>
      </w:r>
    </w:p>
    <w:p>
      <w:pPr>
        <w:autoSpaceDE w:val="0"/>
        <w:autoSpaceDN w:val="0"/>
        <w:adjustRightInd w:val="0"/>
        <w:rPr>
          <w:rFonts w:cs="Arial"/>
        </w:rPr>
      </w:pPr>
      <w:r>
        <w:rPr>
          <w:rFonts w:cs="Arial"/>
        </w:rPr>
        <w:t>V. Leistungs-/ Einsatzort</w:t>
      </w:r>
    </w:p>
    <w:p>
      <w:pPr>
        <w:autoSpaceDE w:val="0"/>
        <w:autoSpaceDN w:val="0"/>
        <w:adjustRightInd w:val="0"/>
        <w:rPr>
          <w:rFonts w:cs="Arial"/>
        </w:rPr>
      </w:pPr>
      <w:r>
        <w:rPr>
          <w:rFonts w:cs="Arial"/>
        </w:rPr>
        <w:t>VI. Mitwirkungspflichten des AG</w:t>
      </w:r>
    </w:p>
    <w:p>
      <w:pPr>
        <w:autoSpaceDE w:val="0"/>
        <w:autoSpaceDN w:val="0"/>
        <w:adjustRightInd w:val="0"/>
        <w:rPr>
          <w:rFonts w:cs="Arial"/>
        </w:rPr>
      </w:pPr>
      <w:r>
        <w:rPr>
          <w:rFonts w:cs="Arial"/>
        </w:rPr>
        <w:t>VII. Vergütung der sicherheitstechnischen Tätigkeit, Betreuungsnachweis und Rechnungslegung</w:t>
      </w:r>
    </w:p>
    <w:p>
      <w:pPr>
        <w:autoSpaceDE w:val="0"/>
        <w:autoSpaceDN w:val="0"/>
        <w:adjustRightInd w:val="0"/>
        <w:rPr>
          <w:rFonts w:cs="Arial"/>
        </w:rPr>
      </w:pPr>
      <w:r>
        <w:rPr>
          <w:rFonts w:cs="Arial"/>
        </w:rPr>
        <w:t>VIII. Datenschutz</w:t>
      </w:r>
    </w:p>
    <w:p>
      <w:pPr>
        <w:autoSpaceDE w:val="0"/>
        <w:autoSpaceDN w:val="0"/>
        <w:adjustRightInd w:val="0"/>
        <w:rPr>
          <w:rFonts w:cs="Arial"/>
        </w:rPr>
      </w:pPr>
      <w:r>
        <w:rPr>
          <w:rFonts w:cs="Arial"/>
        </w:rPr>
        <w:t>IX. Geheimhaltung</w:t>
      </w:r>
    </w:p>
    <w:p>
      <w:pPr>
        <w:autoSpaceDE w:val="0"/>
        <w:autoSpaceDN w:val="0"/>
        <w:adjustRightInd w:val="0"/>
        <w:rPr>
          <w:rFonts w:cs="Arial"/>
        </w:rPr>
      </w:pPr>
      <w:r>
        <w:rPr>
          <w:rFonts w:cs="Arial"/>
          <w:bCs/>
        </w:rPr>
        <w:t>X. Recht zur vorzeitigen Kündigung des Vertrages</w:t>
      </w:r>
    </w:p>
    <w:p>
      <w:pPr>
        <w:autoSpaceDE w:val="0"/>
        <w:autoSpaceDN w:val="0"/>
        <w:adjustRightInd w:val="0"/>
        <w:rPr>
          <w:rFonts w:cs="Arial"/>
          <w:bCs/>
        </w:rPr>
      </w:pPr>
      <w:r>
        <w:rPr>
          <w:rFonts w:cs="Arial"/>
          <w:bCs/>
        </w:rPr>
        <w:t>XI. Eignung des Bieters</w:t>
      </w:r>
    </w:p>
    <w:p>
      <w:pPr>
        <w:autoSpaceDE w:val="0"/>
        <w:autoSpaceDN w:val="0"/>
        <w:adjustRightInd w:val="0"/>
        <w:rPr>
          <w:rFonts w:cs="Arial"/>
          <w:bCs/>
        </w:rPr>
      </w:pPr>
      <w:r>
        <w:rPr>
          <w:rFonts w:cs="Arial"/>
          <w:bCs/>
        </w:rPr>
        <w:t>XII. Weitere Anforderungskriterien an Qualifikation, Erfahrung  und Fachkunde</w:t>
      </w:r>
    </w:p>
    <w:p>
      <w:pPr>
        <w:autoSpaceDE w:val="0"/>
        <w:autoSpaceDN w:val="0"/>
        <w:adjustRightInd w:val="0"/>
        <w:rPr>
          <w:rFonts w:cs="Arial"/>
          <w:bCs/>
        </w:rPr>
      </w:pPr>
      <w:r>
        <w:rPr>
          <w:rFonts w:cs="Arial"/>
          <w:bCs/>
        </w:rPr>
        <w:t>XIII. Übertragung von Leistungen an Subunternehmen</w:t>
      </w:r>
    </w:p>
    <w:p>
      <w:pPr>
        <w:autoSpaceDE w:val="0"/>
        <w:autoSpaceDN w:val="0"/>
        <w:adjustRightInd w:val="0"/>
        <w:rPr>
          <w:rFonts w:cs="Arial"/>
          <w:bCs/>
        </w:rPr>
      </w:pPr>
      <w:r>
        <w:rPr>
          <w:rFonts w:cs="Arial"/>
          <w:bCs/>
        </w:rPr>
        <w:t>XIV. Haftung/Haftpflichtversicherung</w:t>
      </w:r>
    </w:p>
    <w:p>
      <w:pPr>
        <w:autoSpaceDE w:val="0"/>
        <w:autoSpaceDN w:val="0"/>
        <w:adjustRightInd w:val="0"/>
        <w:rPr>
          <w:rFonts w:cs="Arial"/>
          <w:bCs/>
        </w:rPr>
      </w:pPr>
      <w:r>
        <w:rPr>
          <w:rFonts w:cs="Arial"/>
          <w:bCs/>
        </w:rPr>
        <w:t>XV. Zuschlagskriterien</w:t>
      </w:r>
    </w:p>
    <w:p>
      <w:pPr>
        <w:autoSpaceDE w:val="0"/>
        <w:autoSpaceDN w:val="0"/>
        <w:adjustRightInd w:val="0"/>
        <w:rPr>
          <w:rFonts w:cs="Arial"/>
          <w:bCs/>
        </w:rPr>
      </w:pPr>
      <w:r>
        <w:rPr>
          <w:rFonts w:cs="Arial"/>
          <w:bCs/>
        </w:rPr>
        <w:t>XVI. Bietergemeinschaften</w:t>
      </w:r>
    </w:p>
    <w:p>
      <w:pPr>
        <w:autoSpaceDE w:val="0"/>
        <w:autoSpaceDN w:val="0"/>
        <w:adjustRightInd w:val="0"/>
        <w:rPr>
          <w:rFonts w:cs="Arial"/>
          <w:bCs/>
        </w:rPr>
      </w:pPr>
      <w:r>
        <w:rPr>
          <w:rFonts w:cs="Arial"/>
          <w:bCs/>
        </w:rPr>
        <w:t xml:space="preserve">XVII. </w:t>
      </w:r>
      <w:r>
        <w:t>Zuschlagserteilung / Vertragsabschluss</w:t>
      </w:r>
    </w:p>
    <w:p>
      <w:pPr>
        <w:autoSpaceDE w:val="0"/>
        <w:autoSpaceDN w:val="0"/>
        <w:adjustRightInd w:val="0"/>
        <w:rPr>
          <w:rFonts w:cs="Arial"/>
          <w:b/>
          <w:u w:val="single"/>
        </w:rPr>
      </w:pPr>
    </w:p>
    <w:p>
      <w:pPr>
        <w:autoSpaceDE w:val="0"/>
        <w:autoSpaceDN w:val="0"/>
        <w:adjustRightInd w:val="0"/>
        <w:rPr>
          <w:rFonts w:cs="Arial"/>
          <w:b/>
          <w:bCs/>
        </w:rPr>
      </w:pPr>
      <w:r>
        <w:rPr>
          <w:rFonts w:cs="Arial"/>
          <w:b/>
          <w:bCs/>
          <w:bdr w:val="single" w:sz="4" w:space="0" w:color="auto"/>
        </w:rPr>
        <w:t>Teil B Besondere Hinweise und Erläuterungen/wichtige Ausfüllhinweise</w:t>
      </w:r>
    </w:p>
    <w:p>
      <w:pPr>
        <w:autoSpaceDE w:val="0"/>
        <w:autoSpaceDN w:val="0"/>
        <w:adjustRightInd w:val="0"/>
        <w:rPr>
          <w:rFonts w:cs="Arial"/>
          <w:b/>
          <w:bCs/>
        </w:rPr>
      </w:pPr>
    </w:p>
    <w:p>
      <w:pPr>
        <w:autoSpaceDE w:val="0"/>
        <w:autoSpaceDN w:val="0"/>
        <w:adjustRightInd w:val="0"/>
        <w:rPr>
          <w:rFonts w:cs="Arial"/>
          <w:bCs/>
        </w:rPr>
      </w:pPr>
      <w:r>
        <w:rPr>
          <w:rFonts w:cs="Arial"/>
          <w:bCs/>
        </w:rPr>
        <w:t>I. Verwendung der Formblätter/Formelle Anforderungen</w:t>
      </w:r>
    </w:p>
    <w:p>
      <w:pPr>
        <w:autoSpaceDE w:val="0"/>
        <w:autoSpaceDN w:val="0"/>
        <w:adjustRightInd w:val="0"/>
        <w:rPr>
          <w:rFonts w:cs="Arial"/>
          <w:bCs/>
        </w:rPr>
      </w:pPr>
      <w:r>
        <w:rPr>
          <w:rFonts w:cs="Arial"/>
          <w:bCs/>
        </w:rPr>
        <w:t>II. Nebenangebote</w:t>
      </w:r>
    </w:p>
    <w:p>
      <w:pPr>
        <w:autoSpaceDE w:val="0"/>
        <w:autoSpaceDN w:val="0"/>
        <w:adjustRightInd w:val="0"/>
        <w:rPr>
          <w:rFonts w:cs="Arial"/>
          <w:b/>
          <w:bCs/>
          <w:u w:val="thick"/>
        </w:rPr>
      </w:pPr>
    </w:p>
    <w:p>
      <w:pPr>
        <w:autoSpaceDE w:val="0"/>
        <w:autoSpaceDN w:val="0"/>
        <w:adjustRightInd w:val="0"/>
        <w:rPr>
          <w:rFonts w:cs="Arial"/>
          <w:b/>
          <w:bCs/>
          <w:bdr w:val="single" w:sz="4" w:space="0" w:color="auto"/>
        </w:rPr>
      </w:pPr>
      <w:r>
        <w:rPr>
          <w:rFonts w:cs="Arial"/>
          <w:b/>
          <w:bCs/>
          <w:bdr w:val="single" w:sz="4" w:space="0" w:color="auto"/>
        </w:rPr>
        <w:t>Teil C - Übersicht über die vorzulegenden Nachweise/Unterlagen/Erklärungen</w:t>
      </w:r>
    </w:p>
    <w:p>
      <w:pPr>
        <w:autoSpaceDE w:val="0"/>
        <w:autoSpaceDN w:val="0"/>
        <w:adjustRightInd w:val="0"/>
        <w:rPr>
          <w:rFonts w:cs="Arial"/>
          <w:b/>
          <w:bCs/>
          <w:bdr w:val="single" w:sz="4" w:space="0" w:color="auto"/>
        </w:rPr>
      </w:pPr>
    </w:p>
    <w:p>
      <w:pPr>
        <w:rPr>
          <w:b/>
          <w:bCs/>
          <w:color w:val="C0C0C0"/>
        </w:rPr>
      </w:pPr>
    </w:p>
    <w:p>
      <w:pPr>
        <w:rPr>
          <w:b/>
          <w:bCs/>
          <w:color w:val="C0C0C0"/>
        </w:rPr>
      </w:pPr>
    </w:p>
    <w:p>
      <w:pPr>
        <w:rPr>
          <w:b/>
          <w:bCs/>
          <w:color w:val="C0C0C0"/>
        </w:rPr>
      </w:pPr>
    </w:p>
    <w:p>
      <w:pPr>
        <w:rPr>
          <w:b/>
          <w:bCs/>
          <w:color w:val="C0C0C0"/>
        </w:rPr>
      </w:pPr>
    </w:p>
    <w:p>
      <w:pPr>
        <w:pBdr>
          <w:top w:val="single" w:sz="12" w:space="1" w:color="C0C0C0"/>
          <w:left w:val="single" w:sz="12" w:space="4" w:color="C0C0C0"/>
          <w:bottom w:val="single" w:sz="12" w:space="1" w:color="C0C0C0"/>
          <w:right w:val="single" w:sz="12" w:space="4" w:color="C0C0C0"/>
        </w:pBdr>
        <w:autoSpaceDE w:val="0"/>
        <w:autoSpaceDN w:val="0"/>
        <w:adjustRightInd w:val="0"/>
        <w:jc w:val="center"/>
        <w:rPr>
          <w:b/>
          <w:bCs/>
          <w:color w:val="C0C0C0"/>
          <w:sz w:val="16"/>
          <w:szCs w:val="16"/>
        </w:rPr>
      </w:pPr>
      <w:r>
        <w:rPr>
          <w:b/>
          <w:bCs/>
          <w:color w:val="C0C0C0"/>
          <w:sz w:val="16"/>
          <w:szCs w:val="16"/>
        </w:rPr>
        <w:t>Hinweis:</w:t>
      </w:r>
    </w:p>
    <w:p>
      <w:pPr>
        <w:pBdr>
          <w:top w:val="single" w:sz="12" w:space="1" w:color="C0C0C0"/>
          <w:left w:val="single" w:sz="12" w:space="4" w:color="C0C0C0"/>
          <w:bottom w:val="single" w:sz="12" w:space="1" w:color="C0C0C0"/>
          <w:right w:val="single" w:sz="12" w:space="4" w:color="C0C0C0"/>
        </w:pBdr>
        <w:jc w:val="center"/>
        <w:rPr>
          <w:color w:val="C0C0C0"/>
          <w:sz w:val="16"/>
          <w:szCs w:val="16"/>
        </w:rPr>
      </w:pPr>
      <w:r>
        <w:rPr>
          <w:color w:val="C0C0C0"/>
          <w:sz w:val="16"/>
          <w:szCs w:val="16"/>
        </w:rPr>
        <w:t>Diese Unterlagen sind urheberrechtlich geschützt und dürfen deshalb weder kopiert, noch ohne aus</w:t>
      </w:r>
      <w:r>
        <w:rPr>
          <w:color w:val="C0C0C0"/>
          <w:sz w:val="16"/>
          <w:szCs w:val="16"/>
        </w:rPr>
        <w:softHyphen/>
        <w:t>drückliche schriftliche Zustimmung des Urhebers anderweitig genutzt werden.</w:t>
      </w:r>
    </w:p>
    <w:p>
      <w:pPr>
        <w:autoSpaceDE w:val="0"/>
        <w:autoSpaceDN w:val="0"/>
        <w:adjustRightInd w:val="0"/>
        <w:rPr>
          <w:rFonts w:cs="Arial"/>
          <w:b/>
          <w:bCs/>
          <w:sz w:val="28"/>
          <w:szCs w:val="28"/>
          <w:u w:val="single"/>
        </w:rPr>
      </w:pPr>
    </w:p>
    <w:p>
      <w:pPr>
        <w:autoSpaceDE w:val="0"/>
        <w:autoSpaceDN w:val="0"/>
        <w:adjustRightInd w:val="0"/>
        <w:rPr>
          <w:rFonts w:cs="Arial"/>
          <w:b/>
          <w:bCs/>
          <w:sz w:val="28"/>
          <w:szCs w:val="28"/>
          <w:u w:val="single"/>
        </w:rPr>
      </w:pPr>
      <w:r>
        <w:rPr>
          <w:rFonts w:cs="Arial"/>
          <w:b/>
          <w:bCs/>
          <w:sz w:val="28"/>
          <w:szCs w:val="28"/>
          <w:u w:val="single"/>
        </w:rPr>
        <w:lastRenderedPageBreak/>
        <w:t>Sicherheitstechnische Betreuung der Beschäftigten der Kreisverwaltung Göttingen ab 01.01.2027</w:t>
      </w:r>
    </w:p>
    <w:p>
      <w:pPr>
        <w:autoSpaceDE w:val="0"/>
        <w:autoSpaceDN w:val="0"/>
        <w:adjustRightInd w:val="0"/>
        <w:rPr>
          <w:rFonts w:cs="Arial"/>
          <w:bCs/>
        </w:rPr>
      </w:pPr>
    </w:p>
    <w:p>
      <w:pPr>
        <w:autoSpaceDE w:val="0"/>
        <w:autoSpaceDN w:val="0"/>
        <w:adjustRightInd w:val="0"/>
        <w:rPr>
          <w:rFonts w:cs="Arial"/>
          <w:b/>
          <w:bCs/>
          <w:sz w:val="24"/>
          <w:szCs w:val="24"/>
        </w:rPr>
      </w:pPr>
      <w:r>
        <w:rPr>
          <w:rFonts w:cs="Arial"/>
          <w:b/>
          <w:bCs/>
          <w:sz w:val="24"/>
          <w:szCs w:val="24"/>
          <w:bdr w:val="single" w:sz="4" w:space="0" w:color="auto"/>
        </w:rPr>
        <w:t>Teil A Vorbemerkungen/ Leistungsbeschreibung</w:t>
      </w:r>
    </w:p>
    <w:p>
      <w:pPr>
        <w:autoSpaceDE w:val="0"/>
        <w:autoSpaceDN w:val="0"/>
        <w:adjustRightInd w:val="0"/>
        <w:rPr>
          <w:rFonts w:cs="Arial"/>
          <w:b/>
          <w:bCs/>
        </w:rPr>
      </w:pPr>
    </w:p>
    <w:p>
      <w:pPr>
        <w:autoSpaceDE w:val="0"/>
        <w:autoSpaceDN w:val="0"/>
        <w:adjustRightInd w:val="0"/>
        <w:rPr>
          <w:rFonts w:cs="Arial"/>
          <w:b/>
          <w:bCs/>
        </w:rPr>
      </w:pPr>
    </w:p>
    <w:p>
      <w:pPr>
        <w:autoSpaceDE w:val="0"/>
        <w:autoSpaceDN w:val="0"/>
        <w:adjustRightInd w:val="0"/>
        <w:rPr>
          <w:rFonts w:cs="Arial"/>
          <w:b/>
          <w:bCs/>
          <w:u w:val="single"/>
        </w:rPr>
      </w:pPr>
      <w:r>
        <w:rPr>
          <w:rFonts w:cs="Arial"/>
          <w:b/>
          <w:bCs/>
          <w:u w:val="single"/>
        </w:rPr>
        <w:t>I. Allgemeines</w:t>
      </w:r>
    </w:p>
    <w:p>
      <w:pPr>
        <w:autoSpaceDE w:val="0"/>
        <w:autoSpaceDN w:val="0"/>
        <w:adjustRightInd w:val="0"/>
        <w:ind w:left="360"/>
        <w:rPr>
          <w:rFonts w:cs="Arial"/>
          <w:b/>
          <w:bCs/>
        </w:rPr>
      </w:pPr>
    </w:p>
    <w:p>
      <w:pPr>
        <w:autoSpaceDE w:val="0"/>
        <w:autoSpaceDN w:val="0"/>
        <w:adjustRightInd w:val="0"/>
        <w:rPr>
          <w:rFonts w:cs="Arial"/>
        </w:rPr>
      </w:pPr>
      <w:r>
        <w:rPr>
          <w:rFonts w:cs="Arial"/>
        </w:rPr>
        <w:t xml:space="preserve">Die Leistungen zur sicherheitstechnischen Betreuung für die Beschäftigten der Kreisverwaltung Göttingen (Auftraggeber, </w:t>
      </w:r>
      <w:r>
        <w:rPr>
          <w:rFonts w:cs="Arial"/>
          <w:b/>
        </w:rPr>
        <w:t>im Folgenden AG</w:t>
      </w:r>
      <w:r>
        <w:rPr>
          <w:rFonts w:cs="Arial"/>
        </w:rPr>
        <w:t xml:space="preserve">) sollen ab 01.01.2027 im Rahmen eines europaweiten Vergabeverfahrens an einen externen Dienstleister – Auftragnehmer,  </w:t>
      </w:r>
      <w:r>
        <w:rPr>
          <w:rFonts w:cs="Arial"/>
          <w:b/>
        </w:rPr>
        <w:t>im Folgenden AN</w:t>
      </w:r>
      <w:r>
        <w:rPr>
          <w:rFonts w:cs="Arial"/>
        </w:rPr>
        <w:t xml:space="preserve"> - vergeben werden. Die Beschäftigten sind in verschiedenen Verwaltungsbereichen an unterschiedlichen Standorten und Einrichtungen (wie z. B. Schulen, Entsorgungsanlagen, Kreisstraßenmeisterei) tätig. </w:t>
      </w:r>
    </w:p>
    <w:p>
      <w:pPr>
        <w:autoSpaceDE w:val="0"/>
        <w:autoSpaceDN w:val="0"/>
        <w:adjustRightInd w:val="0"/>
        <w:rPr>
          <w:rFonts w:cs="Arial"/>
        </w:rPr>
      </w:pPr>
    </w:p>
    <w:p>
      <w:pPr>
        <w:autoSpaceDE w:val="0"/>
        <w:autoSpaceDN w:val="0"/>
        <w:adjustRightInd w:val="0"/>
        <w:rPr>
          <w:rFonts w:cs="Arial"/>
        </w:rPr>
      </w:pPr>
      <w:r>
        <w:rPr>
          <w:rFonts w:cs="Arial"/>
        </w:rPr>
        <w:t xml:space="preserve">Die Verpflichtung zur Bestellung einer Fachkraft für Arbeitssicherheit  ergibt sich aus § 2 der DGUV Vorschrift 2 in Verbindung mit dem Arbeitssicherheitsgesetz (ASiG).  </w:t>
      </w:r>
    </w:p>
    <w:p>
      <w:pPr>
        <w:autoSpaceDE w:val="0"/>
        <w:autoSpaceDN w:val="0"/>
        <w:adjustRightInd w:val="0"/>
        <w:rPr>
          <w:rFonts w:cs="Arial"/>
        </w:rPr>
      </w:pPr>
    </w:p>
    <w:p>
      <w:pPr>
        <w:autoSpaceDE w:val="0"/>
        <w:autoSpaceDN w:val="0"/>
        <w:adjustRightInd w:val="0"/>
        <w:rPr>
          <w:rFonts w:cs="Arial"/>
        </w:rPr>
      </w:pPr>
      <w:r>
        <w:rPr>
          <w:rFonts w:cs="Arial"/>
        </w:rPr>
        <w:t>Im Falle der Zuschlagserteilung wird ein Vertrag entsprechend des beiliegenden Musters abgeschlossen.</w:t>
      </w:r>
    </w:p>
    <w:p>
      <w:pPr>
        <w:autoSpaceDE w:val="0"/>
        <w:autoSpaceDN w:val="0"/>
        <w:adjustRightInd w:val="0"/>
        <w:rPr>
          <w:rFonts w:cs="Arial"/>
        </w:rPr>
      </w:pPr>
      <w:r>
        <w:rPr>
          <w:rFonts w:cs="Arial"/>
        </w:rPr>
        <w:t>Der Inhalt des Vertrages ist Bestandteil dieser Ausschreibung und wird dem Angebot als verbindlich anerkannt.</w:t>
      </w:r>
    </w:p>
    <w:p>
      <w:pPr>
        <w:tabs>
          <w:tab w:val="num" w:pos="360"/>
        </w:tabs>
        <w:jc w:val="both"/>
      </w:pPr>
    </w:p>
    <w:p>
      <w:pPr>
        <w:tabs>
          <w:tab w:val="num" w:pos="360"/>
        </w:tabs>
        <w:jc w:val="both"/>
      </w:pPr>
      <w:r>
        <w:t>Die in der Leistungsbeschreibung gemachten Angaben beziehen sich sowohl auf die männli</w:t>
      </w:r>
      <w:r>
        <w:softHyphen/>
        <w:t>che als auch auf die weibliche Form. Zur besseren Lesbarkeit wurde auf die zusätzliche Be</w:t>
      </w:r>
      <w:r>
        <w:softHyphen/>
        <w:t>zeichnung in weiblicher Form verzichtet.</w:t>
      </w:r>
    </w:p>
    <w:p>
      <w:pPr>
        <w:autoSpaceDE w:val="0"/>
        <w:autoSpaceDN w:val="0"/>
        <w:adjustRightInd w:val="0"/>
        <w:rPr>
          <w:rFonts w:cs="Arial"/>
        </w:rPr>
      </w:pPr>
    </w:p>
    <w:p>
      <w:pPr>
        <w:autoSpaceDE w:val="0"/>
        <w:autoSpaceDN w:val="0"/>
        <w:adjustRightInd w:val="0"/>
        <w:rPr>
          <w:rFonts w:cs="Arial"/>
          <w:b/>
          <w:bCs/>
          <w:u w:val="single"/>
        </w:rPr>
      </w:pPr>
      <w:r>
        <w:rPr>
          <w:rFonts w:cs="Arial"/>
          <w:b/>
          <w:bCs/>
          <w:u w:val="single"/>
        </w:rPr>
        <w:t>II. Vertragslaufzeit, Mustervertrag</w:t>
      </w:r>
    </w:p>
    <w:p>
      <w:pPr>
        <w:autoSpaceDE w:val="0"/>
        <w:autoSpaceDN w:val="0"/>
        <w:adjustRightInd w:val="0"/>
        <w:rPr>
          <w:rFonts w:cs="Arial"/>
          <w:b/>
          <w:bCs/>
        </w:rPr>
      </w:pPr>
    </w:p>
    <w:p>
      <w:pPr>
        <w:autoSpaceDE w:val="0"/>
        <w:autoSpaceDN w:val="0"/>
        <w:adjustRightInd w:val="0"/>
        <w:rPr>
          <w:rFonts w:cs="Arial"/>
        </w:rPr>
      </w:pPr>
      <w:r>
        <w:rPr>
          <w:rFonts w:cs="Arial"/>
        </w:rPr>
        <w:t>Der Vertrag soll am 01.01.2027 in Kraft treten und zum 31.12.2030 enden.</w:t>
      </w:r>
    </w:p>
    <w:p>
      <w:pPr>
        <w:autoSpaceDE w:val="0"/>
        <w:autoSpaceDN w:val="0"/>
        <w:adjustRightInd w:val="0"/>
        <w:rPr>
          <w:rFonts w:cs="Arial"/>
        </w:rPr>
      </w:pPr>
    </w:p>
    <w:p>
      <w:pPr>
        <w:autoSpaceDE w:val="0"/>
        <w:autoSpaceDN w:val="0"/>
        <w:adjustRightInd w:val="0"/>
        <w:rPr>
          <w:rFonts w:cs="Arial"/>
        </w:rPr>
      </w:pPr>
      <w:r>
        <w:rPr>
          <w:rFonts w:cs="Arial"/>
        </w:rPr>
        <w:t>Bitte beachten Sie für den Fall einer möglichen Auftragsdurchführung den beigefügten Mustervertrag.</w:t>
      </w:r>
    </w:p>
    <w:p>
      <w:pPr>
        <w:autoSpaceDE w:val="0"/>
        <w:autoSpaceDN w:val="0"/>
        <w:adjustRightInd w:val="0"/>
        <w:rPr>
          <w:rFonts w:cs="Arial"/>
        </w:rPr>
      </w:pPr>
    </w:p>
    <w:p>
      <w:pPr>
        <w:autoSpaceDE w:val="0"/>
        <w:autoSpaceDN w:val="0"/>
        <w:adjustRightInd w:val="0"/>
        <w:rPr>
          <w:rFonts w:cs="Arial"/>
          <w:b/>
          <w:bCs/>
          <w:u w:val="single"/>
        </w:rPr>
      </w:pPr>
      <w:r>
        <w:rPr>
          <w:rFonts w:cs="Arial"/>
          <w:b/>
          <w:bCs/>
          <w:u w:val="single"/>
        </w:rPr>
        <w:t>III. Leistungen des AN</w:t>
      </w:r>
    </w:p>
    <w:p>
      <w:pPr>
        <w:autoSpaceDE w:val="0"/>
        <w:autoSpaceDN w:val="0"/>
        <w:adjustRightInd w:val="0"/>
        <w:rPr>
          <w:rFonts w:cs="Arial"/>
          <w:b/>
          <w:bCs/>
          <w:color w:val="FF0000"/>
        </w:rPr>
      </w:pPr>
    </w:p>
    <w:p>
      <w:pPr>
        <w:autoSpaceDE w:val="0"/>
        <w:autoSpaceDN w:val="0"/>
        <w:adjustRightInd w:val="0"/>
        <w:rPr>
          <w:rFonts w:cs="Arial"/>
        </w:rPr>
      </w:pPr>
      <w:r>
        <w:rPr>
          <w:rFonts w:cs="Arial"/>
        </w:rPr>
        <w:t xml:space="preserve">Die beim AN eingesetzte Fachkraft für Arbeitssicherheit ist dem AG persönlich fest zuzuordnen und namentlich zu benennen. </w:t>
      </w:r>
    </w:p>
    <w:p>
      <w:pPr>
        <w:autoSpaceDE w:val="0"/>
        <w:autoSpaceDN w:val="0"/>
        <w:adjustRightInd w:val="0"/>
        <w:rPr>
          <w:rFonts w:cs="Arial"/>
        </w:rPr>
      </w:pPr>
      <w:r>
        <w:rPr>
          <w:rFonts w:cs="Arial"/>
        </w:rPr>
        <w:t xml:space="preserve">Vorzugsweise soll es sich um </w:t>
      </w:r>
      <w:r>
        <w:rPr>
          <w:rFonts w:cs="Arial"/>
          <w:u w:val="single"/>
        </w:rPr>
        <w:t>einen bis max. drei</w:t>
      </w:r>
      <w:r>
        <w:rPr>
          <w:rFonts w:cs="Arial"/>
        </w:rPr>
        <w:t xml:space="preserve"> Ansprechpartner für den Landkreis Göttingen handeln. Falls mehrere Ansprechpartner eingesetzt werden, sollte die Aufteilung nach Einsatzgebiet (beispielsweise Altkreise Göttingen und Osterode am Harz) oder Einsatzbereichen (beispielsweise Verwaltung &amp; handwerklich-technische Bereichen) erfolgen. Der AN ist damit für die Vertragsdauer verpflichtet, die Leistungen grundsätzlich mit der genannten Fachkraft für Arbeitssicherheit durchzuführen.</w:t>
      </w:r>
    </w:p>
    <w:p>
      <w:pPr>
        <w:autoSpaceDE w:val="0"/>
        <w:autoSpaceDN w:val="0"/>
        <w:adjustRightInd w:val="0"/>
        <w:rPr>
          <w:rFonts w:cs="Arial"/>
        </w:rPr>
      </w:pPr>
      <w:r>
        <w:rPr>
          <w:rFonts w:cs="Arial"/>
        </w:rPr>
        <w:t>Personelle Änderungen bedürfen der schriftlichen Zustimmung des AG. Dabei ist die</w:t>
      </w:r>
    </w:p>
    <w:p>
      <w:pPr>
        <w:autoSpaceDE w:val="0"/>
        <w:autoSpaceDN w:val="0"/>
        <w:adjustRightInd w:val="0"/>
        <w:rPr>
          <w:rFonts w:cs="Arial"/>
        </w:rPr>
      </w:pPr>
      <w:r>
        <w:rPr>
          <w:rFonts w:cs="Arial"/>
        </w:rPr>
        <w:t>Eignung/Qualifikation (siehe XI. Berufliche und sonstige Qualifikation der einzusetzenden Fachkraft für Arbeitssicherheit) vor Leistungsausführung zu belegen. Bei Urlaub, Krankheit oder sonstiger Abwesenheit gewährleistet der AN eine Vertretung, die den Anforderungen einer Fachkraft für Arbeitssicherheit  nach ASiG entspricht.</w:t>
      </w:r>
    </w:p>
    <w:p>
      <w:pPr>
        <w:autoSpaceDE w:val="0"/>
        <w:autoSpaceDN w:val="0"/>
        <w:adjustRightInd w:val="0"/>
        <w:rPr>
          <w:rFonts w:cs="Arial"/>
          <w:b/>
          <w:bCs/>
        </w:rPr>
      </w:pPr>
    </w:p>
    <w:p>
      <w:pPr>
        <w:autoSpaceDE w:val="0"/>
        <w:autoSpaceDN w:val="0"/>
        <w:adjustRightInd w:val="0"/>
        <w:rPr>
          <w:rFonts w:cs="Arial"/>
          <w:b/>
          <w:bCs/>
        </w:rPr>
      </w:pPr>
      <w:r>
        <w:rPr>
          <w:rFonts w:cs="Arial"/>
          <w:b/>
          <w:bCs/>
        </w:rPr>
        <w:t>Sicherheitstechnische Betreuung</w:t>
      </w:r>
    </w:p>
    <w:p>
      <w:pPr>
        <w:autoSpaceDE w:val="0"/>
        <w:autoSpaceDN w:val="0"/>
        <w:adjustRightInd w:val="0"/>
        <w:rPr>
          <w:rFonts w:cs="Arial"/>
        </w:rPr>
      </w:pPr>
      <w:r>
        <w:rPr>
          <w:rFonts w:cs="Arial"/>
        </w:rPr>
        <w:t>Gegenstand der Leistung ist die Wahrnehmung der sicherheitstechnischen Betreuung der Beschäftigten des Landkreises Göttingen und die Beratung des AG auf der Grundlage des Arbeitssicherheitsgesetzes und der DGUV Vorschrift 2 in den jeweils geltenden Fassungen.</w:t>
      </w:r>
    </w:p>
    <w:p>
      <w:pPr>
        <w:autoSpaceDE w:val="0"/>
        <w:autoSpaceDN w:val="0"/>
        <w:adjustRightInd w:val="0"/>
        <w:rPr>
          <w:rFonts w:cs="Arial"/>
        </w:rPr>
      </w:pPr>
      <w:r>
        <w:rPr>
          <w:rFonts w:cs="Arial"/>
        </w:rPr>
        <w:lastRenderedPageBreak/>
        <w:t>Alle für den AG anwendbaren bzw. einschlägigen staatlichen und berufsgenossenschaftlichen Arbeitsschutzbestimmungen (Gesetze, Verordnungen, DIN-/, EN-/, EG-Richtlinien u. a. Normen usw. sowie Unfallverhütungsvorschriften) und sich künftig ergebende Änderungen in den Rechtsgrundlagen sind zu beachten und umzusetzen.</w:t>
      </w:r>
    </w:p>
    <w:p>
      <w:pPr>
        <w:autoSpaceDE w:val="0"/>
        <w:autoSpaceDN w:val="0"/>
        <w:adjustRightInd w:val="0"/>
        <w:rPr>
          <w:rFonts w:cs="Arial"/>
        </w:rPr>
      </w:pPr>
      <w:r>
        <w:rPr>
          <w:rFonts w:cs="Arial"/>
        </w:rPr>
        <w:t xml:space="preserve">Insbesondere gehören zur sicherheitstechnischen Betreuung sowohl die Grundbetreuung als auch der betriebsspezifische Teil der Betreuung, daraus ergibt sich eine Gesamtbetreuung. </w:t>
      </w:r>
    </w:p>
    <w:p>
      <w:pPr>
        <w:autoSpaceDE w:val="0"/>
        <w:autoSpaceDN w:val="0"/>
        <w:adjustRightInd w:val="0"/>
        <w:rPr>
          <w:rFonts w:cs="Arial"/>
        </w:rPr>
      </w:pPr>
      <w:r>
        <w:rPr>
          <w:rFonts w:cs="Arial"/>
        </w:rPr>
        <w:t>Die sicherheitstechnische Betreuung hat soweit möglich in den Räumlichkeiten des AG zu erfolgen.</w:t>
      </w:r>
    </w:p>
    <w:p>
      <w:pPr>
        <w:autoSpaceDE w:val="0"/>
        <w:autoSpaceDN w:val="0"/>
        <w:adjustRightInd w:val="0"/>
        <w:rPr>
          <w:rFonts w:cs="Arial"/>
        </w:rPr>
      </w:pPr>
      <w:r>
        <w:rPr>
          <w:rFonts w:cs="Arial"/>
        </w:rPr>
        <w:t xml:space="preserve">Die Aufgaben für Fachkräfte für Arbeitssicherheit nach § 6 ASiG sind durch den AN vollständig zu übernehmen. </w:t>
      </w:r>
    </w:p>
    <w:p>
      <w:pPr>
        <w:autoSpaceDE w:val="0"/>
        <w:autoSpaceDN w:val="0"/>
        <w:adjustRightInd w:val="0"/>
        <w:rPr>
          <w:rFonts w:cs="Arial"/>
        </w:rPr>
      </w:pPr>
    </w:p>
    <w:p>
      <w:pPr>
        <w:autoSpaceDE w:val="0"/>
        <w:autoSpaceDN w:val="0"/>
        <w:adjustRightInd w:val="0"/>
        <w:rPr>
          <w:rFonts w:cs="Arial"/>
        </w:rPr>
      </w:pPr>
      <w:r>
        <w:rPr>
          <w:rFonts w:cs="Arial"/>
        </w:rPr>
        <w:t>Die sicherheitstechnische Betreuung umfasst schwerpunktmäßig folgende Leistungen:</w:t>
      </w:r>
    </w:p>
    <w:p>
      <w:pPr>
        <w:autoSpaceDE w:val="0"/>
        <w:autoSpaceDN w:val="0"/>
        <w:adjustRightInd w:val="0"/>
        <w:rPr>
          <w:rFonts w:cs="Arial"/>
        </w:rPr>
      </w:pPr>
    </w:p>
    <w:p>
      <w:pPr>
        <w:numPr>
          <w:ilvl w:val="0"/>
          <w:numId w:val="2"/>
        </w:numPr>
        <w:tabs>
          <w:tab w:val="num" w:pos="66"/>
        </w:tabs>
        <w:autoSpaceDE w:val="0"/>
        <w:autoSpaceDN w:val="0"/>
        <w:adjustRightInd w:val="0"/>
        <w:ind w:left="360"/>
        <w:rPr>
          <w:rFonts w:cs="Arial"/>
        </w:rPr>
      </w:pPr>
      <w:r>
        <w:rPr>
          <w:rFonts w:cs="Arial"/>
        </w:rPr>
        <w:t xml:space="preserve">Unterstützung des AG beim Arbeitsschutz und bei der Unfallverhütung </w:t>
      </w:r>
    </w:p>
    <w:p>
      <w:pPr>
        <w:autoSpaceDE w:val="0"/>
        <w:autoSpaceDN w:val="0"/>
        <w:adjustRightInd w:val="0"/>
        <w:ind w:left="360"/>
        <w:rPr>
          <w:rFonts w:cs="Arial"/>
        </w:rPr>
      </w:pPr>
    </w:p>
    <w:p>
      <w:pPr>
        <w:numPr>
          <w:ilvl w:val="0"/>
          <w:numId w:val="2"/>
        </w:numPr>
        <w:tabs>
          <w:tab w:val="num" w:pos="426"/>
        </w:tabs>
        <w:autoSpaceDE w:val="0"/>
        <w:autoSpaceDN w:val="0"/>
        <w:adjustRightInd w:val="0"/>
        <w:ind w:left="360"/>
        <w:rPr>
          <w:rFonts w:cs="Arial"/>
        </w:rPr>
      </w:pPr>
      <w:r>
        <w:rPr>
          <w:rFonts w:cs="Arial"/>
        </w:rPr>
        <w:t>Beratung des AG und der für den Arbeitsschutz und die Unfallverhütung verantwortlichen Personen, insbesondere bei</w:t>
      </w:r>
    </w:p>
    <w:p>
      <w:pPr>
        <w:pStyle w:val="Listenabsatz"/>
        <w:numPr>
          <w:ilvl w:val="0"/>
          <w:numId w:val="4"/>
        </w:numPr>
        <w:autoSpaceDE w:val="0"/>
        <w:autoSpaceDN w:val="0"/>
        <w:adjustRightInd w:val="0"/>
        <w:ind w:left="708"/>
        <w:rPr>
          <w:rFonts w:cs="Arial"/>
        </w:rPr>
      </w:pPr>
      <w:r>
        <w:rPr>
          <w:rFonts w:cs="Arial"/>
        </w:rPr>
        <w:t>der Planung, Ausführung und Unterhaltung von Betriebsanlagen und von sozialen und sanitären Einrichtungen,</w:t>
      </w:r>
    </w:p>
    <w:p>
      <w:pPr>
        <w:pStyle w:val="Listenabsatz"/>
        <w:numPr>
          <w:ilvl w:val="0"/>
          <w:numId w:val="4"/>
        </w:numPr>
        <w:autoSpaceDE w:val="0"/>
        <w:autoSpaceDN w:val="0"/>
        <w:adjustRightInd w:val="0"/>
        <w:ind w:left="708"/>
        <w:rPr>
          <w:rFonts w:cs="Arial"/>
        </w:rPr>
      </w:pPr>
      <w:r>
        <w:rPr>
          <w:rFonts w:cs="Arial"/>
        </w:rPr>
        <w:t>der Beschaffung von technischen Arbeitsmitteln und der Einführung von Arbeitsverfahren und Arbeitsstoffen,</w:t>
      </w:r>
    </w:p>
    <w:p>
      <w:pPr>
        <w:pStyle w:val="Listenabsatz"/>
        <w:numPr>
          <w:ilvl w:val="0"/>
          <w:numId w:val="4"/>
        </w:numPr>
        <w:autoSpaceDE w:val="0"/>
        <w:autoSpaceDN w:val="0"/>
        <w:adjustRightInd w:val="0"/>
        <w:ind w:left="708"/>
        <w:rPr>
          <w:rFonts w:cs="Arial"/>
        </w:rPr>
      </w:pPr>
      <w:r>
        <w:rPr>
          <w:rFonts w:cs="Arial"/>
        </w:rPr>
        <w:t>arbeitsphysiologischen, arbeitspsychologischen und sonstigen ergonomischen sowie arbeitshygienischen Fragen, insbesondere des Arbeitsrhythmus, der Arbeitszeit und der Pausenregelung, der Gestaltung der Arbeitsplätze, des Arbeitsablaufs und der Arbeitsumgebung,</w:t>
      </w:r>
    </w:p>
    <w:p>
      <w:pPr>
        <w:pStyle w:val="Listenabsatz"/>
        <w:numPr>
          <w:ilvl w:val="0"/>
          <w:numId w:val="4"/>
        </w:numPr>
        <w:autoSpaceDE w:val="0"/>
        <w:autoSpaceDN w:val="0"/>
        <w:adjustRightInd w:val="0"/>
        <w:ind w:left="708"/>
        <w:rPr>
          <w:rFonts w:cs="Arial"/>
        </w:rPr>
      </w:pPr>
      <w:r>
        <w:rPr>
          <w:rFonts w:cs="Arial"/>
        </w:rPr>
        <w:t>der Unterstützung der „Ersten Hilfe" im Betrieb,</w:t>
      </w:r>
    </w:p>
    <w:p>
      <w:pPr>
        <w:pStyle w:val="Listenabsatz"/>
        <w:numPr>
          <w:ilvl w:val="0"/>
          <w:numId w:val="4"/>
        </w:numPr>
        <w:autoSpaceDE w:val="0"/>
        <w:autoSpaceDN w:val="0"/>
        <w:adjustRightInd w:val="0"/>
        <w:ind w:left="708"/>
        <w:rPr>
          <w:rFonts w:cs="Arial"/>
        </w:rPr>
      </w:pPr>
      <w:r>
        <w:rPr>
          <w:rFonts w:cs="Arial"/>
        </w:rPr>
        <w:t>Fragen des Arbeitsplatzwechsels sowie der Eingliederung und Wiedereingliederung von Personen mit Behinderung in den Arbeitsprozess,</w:t>
      </w:r>
    </w:p>
    <w:p>
      <w:pPr>
        <w:pStyle w:val="Listenabsatz"/>
        <w:numPr>
          <w:ilvl w:val="0"/>
          <w:numId w:val="4"/>
        </w:numPr>
        <w:autoSpaceDE w:val="0"/>
        <w:autoSpaceDN w:val="0"/>
        <w:adjustRightInd w:val="0"/>
        <w:ind w:left="708"/>
        <w:rPr>
          <w:rFonts w:cs="Arial"/>
        </w:rPr>
      </w:pPr>
      <w:r>
        <w:rPr>
          <w:rFonts w:cs="Arial"/>
        </w:rPr>
        <w:t>der Beurteilung der Arbeitsbedingungen (z. B. Unterstützung bei der Implementierung,  Durchführung und Auswertung von Gefährdungsbeurteilungen; Anträge auf mobiles Arbeiten und Telearbeit),</w:t>
      </w:r>
    </w:p>
    <w:p>
      <w:pPr>
        <w:pStyle w:val="Listenabsatz"/>
        <w:numPr>
          <w:ilvl w:val="0"/>
          <w:numId w:val="4"/>
        </w:numPr>
        <w:autoSpaceDE w:val="0"/>
        <w:autoSpaceDN w:val="0"/>
        <w:adjustRightInd w:val="0"/>
        <w:ind w:left="708"/>
        <w:rPr>
          <w:rFonts w:cs="Arial"/>
        </w:rPr>
      </w:pPr>
      <w:r>
        <w:rPr>
          <w:rFonts w:cs="Arial"/>
        </w:rPr>
        <w:t>der Implementierung  und Weiterentwicklung von ganzheitlichen Konzepten (z.B. Schutzkonzept zur Gewaltprävention, Evakuierungskonzept in besonderen Gefahrenlagen)</w:t>
      </w:r>
    </w:p>
    <w:p>
      <w:pPr>
        <w:pStyle w:val="Listenabsatz"/>
        <w:numPr>
          <w:ilvl w:val="0"/>
          <w:numId w:val="4"/>
        </w:numPr>
        <w:autoSpaceDE w:val="0"/>
        <w:autoSpaceDN w:val="0"/>
        <w:adjustRightInd w:val="0"/>
        <w:ind w:left="708"/>
        <w:rPr>
          <w:rFonts w:cs="Arial"/>
        </w:rPr>
      </w:pPr>
      <w:r>
        <w:rPr>
          <w:rFonts w:cs="Arial"/>
        </w:rPr>
        <w:t>der Umsetzung von Vorgaben aus dem Infektionsschutzgesetz sowie Arbeitsschutzverordnungen.</w:t>
      </w:r>
    </w:p>
    <w:p>
      <w:pPr>
        <w:autoSpaceDE w:val="0"/>
        <w:autoSpaceDN w:val="0"/>
        <w:adjustRightInd w:val="0"/>
        <w:ind w:left="348"/>
        <w:rPr>
          <w:rFonts w:cs="Arial"/>
        </w:rPr>
      </w:pPr>
    </w:p>
    <w:p>
      <w:pPr>
        <w:pStyle w:val="Listenabsatz"/>
        <w:numPr>
          <w:ilvl w:val="0"/>
          <w:numId w:val="7"/>
        </w:numPr>
        <w:autoSpaceDE w:val="0"/>
        <w:autoSpaceDN w:val="0"/>
        <w:adjustRightInd w:val="0"/>
        <w:ind w:left="360"/>
        <w:rPr>
          <w:rFonts w:cs="Arial"/>
        </w:rPr>
      </w:pPr>
      <w:r>
        <w:rPr>
          <w:rFonts w:cs="Arial"/>
        </w:rPr>
        <w:t>Begehung der Arbeitsstätten in regelmäßigen Abständen und Mitteilung der festgestellten Mängel an den AG bzw. der sonst für den Arbeitsschutz und die Unfallverhütung verantwortlichen Person, Vorschlagen von Maßnahmen zur Beseitigung dieser Mängel und hinwirken auf deren Durchführung.</w:t>
      </w:r>
    </w:p>
    <w:p>
      <w:pPr>
        <w:ind w:left="360"/>
        <w:rPr>
          <w:rFonts w:cs="Arial"/>
        </w:rPr>
      </w:pPr>
      <w:r>
        <w:rPr>
          <w:rFonts w:cs="Arial"/>
        </w:rPr>
        <w:t>Die Einsatzbereiche der Beschäftigten wie z. B. Verwaltung, Straßenmeisterei, Entsorgungs-anlagen sind entsprechend zu berücksichtigen.</w:t>
      </w:r>
    </w:p>
    <w:p>
      <w:pPr>
        <w:autoSpaceDE w:val="0"/>
        <w:autoSpaceDN w:val="0"/>
        <w:adjustRightInd w:val="0"/>
        <w:rPr>
          <w:rFonts w:cs="Arial"/>
        </w:rPr>
      </w:pPr>
    </w:p>
    <w:p>
      <w:pPr>
        <w:numPr>
          <w:ilvl w:val="0"/>
          <w:numId w:val="7"/>
        </w:numPr>
        <w:autoSpaceDE w:val="0"/>
        <w:autoSpaceDN w:val="0"/>
        <w:adjustRightInd w:val="0"/>
        <w:ind w:left="360"/>
        <w:rPr>
          <w:rFonts w:cs="Arial"/>
        </w:rPr>
      </w:pPr>
      <w:r>
        <w:rPr>
          <w:rFonts w:cs="Arial"/>
        </w:rPr>
        <w:t>Allgemeine Beratung des AG und der Führungskräfte, der betrieblichen Interessenvertretungen und der Beschäftigten zu Rechtsgrundlagen, Stand der Technik, wissenschaftlichen Erkenntnissen, Beantwortung von Anfragen, Verbreitung der Information im Unternehmen.</w:t>
      </w:r>
    </w:p>
    <w:p>
      <w:pPr>
        <w:autoSpaceDE w:val="0"/>
        <w:autoSpaceDN w:val="0"/>
        <w:adjustRightInd w:val="0"/>
        <w:rPr>
          <w:rFonts w:cs="Arial"/>
        </w:rPr>
      </w:pPr>
    </w:p>
    <w:p>
      <w:pPr>
        <w:numPr>
          <w:ilvl w:val="0"/>
          <w:numId w:val="1"/>
        </w:numPr>
        <w:tabs>
          <w:tab w:val="clear" w:pos="720"/>
          <w:tab w:val="num" w:pos="1068"/>
        </w:tabs>
        <w:autoSpaceDE w:val="0"/>
        <w:autoSpaceDN w:val="0"/>
        <w:adjustRightInd w:val="0"/>
        <w:ind w:left="360"/>
        <w:rPr>
          <w:rFonts w:cs="Arial"/>
        </w:rPr>
      </w:pPr>
      <w:r>
        <w:rPr>
          <w:rFonts w:cs="Arial"/>
        </w:rPr>
        <w:t xml:space="preserve">Unterstützung bei grundlegenden Maßnahmen der Arbeitsgestaltung – Verhaltensprävention - z. B. durch </w:t>
      </w:r>
    </w:p>
    <w:p>
      <w:pPr>
        <w:numPr>
          <w:ilvl w:val="0"/>
          <w:numId w:val="3"/>
        </w:numPr>
        <w:autoSpaceDE w:val="0"/>
        <w:autoSpaceDN w:val="0"/>
        <w:adjustRightInd w:val="0"/>
        <w:ind w:left="708"/>
        <w:rPr>
          <w:rFonts w:cs="Arial"/>
        </w:rPr>
      </w:pPr>
      <w:r>
        <w:rPr>
          <w:rFonts w:cs="Arial"/>
        </w:rPr>
        <w:t xml:space="preserve">Unterstützung bei Unterweisungen, Qualifizierungsmaßnahmen, </w:t>
      </w:r>
    </w:p>
    <w:p>
      <w:pPr>
        <w:numPr>
          <w:ilvl w:val="0"/>
          <w:numId w:val="3"/>
        </w:numPr>
        <w:autoSpaceDE w:val="0"/>
        <w:autoSpaceDN w:val="0"/>
        <w:adjustRightInd w:val="0"/>
        <w:ind w:left="708"/>
        <w:rPr>
          <w:rFonts w:cs="Arial"/>
        </w:rPr>
      </w:pPr>
      <w:r>
        <w:rPr>
          <w:rFonts w:cs="Arial"/>
        </w:rPr>
        <w:t xml:space="preserve">Motivieren zum sicherheits- und gesundheitsgerechten Verhalten, </w:t>
      </w:r>
    </w:p>
    <w:p>
      <w:pPr>
        <w:numPr>
          <w:ilvl w:val="0"/>
          <w:numId w:val="3"/>
        </w:numPr>
        <w:autoSpaceDE w:val="0"/>
        <w:autoSpaceDN w:val="0"/>
        <w:adjustRightInd w:val="0"/>
        <w:ind w:left="708"/>
        <w:rPr>
          <w:rFonts w:cs="Arial"/>
        </w:rPr>
      </w:pPr>
      <w:r>
        <w:rPr>
          <w:rFonts w:cs="Arial"/>
        </w:rPr>
        <w:t>Information und Aufklärung.</w:t>
      </w:r>
    </w:p>
    <w:p>
      <w:pPr>
        <w:autoSpaceDE w:val="0"/>
        <w:autoSpaceDN w:val="0"/>
        <w:adjustRightInd w:val="0"/>
        <w:ind w:left="348"/>
        <w:rPr>
          <w:rFonts w:cs="Arial"/>
        </w:rPr>
      </w:pPr>
    </w:p>
    <w:p>
      <w:pPr>
        <w:numPr>
          <w:ilvl w:val="0"/>
          <w:numId w:val="5"/>
        </w:numPr>
        <w:autoSpaceDE w:val="0"/>
        <w:autoSpaceDN w:val="0"/>
        <w:adjustRightInd w:val="0"/>
        <w:ind w:left="360"/>
        <w:rPr>
          <w:rFonts w:cs="Arial"/>
        </w:rPr>
      </w:pPr>
      <w:r>
        <w:rPr>
          <w:rFonts w:cs="Arial"/>
        </w:rPr>
        <w:lastRenderedPageBreak/>
        <w:t>Beratung und Begleitung zur bedarfsgerechten Weiterentwicklung des Betrieblichen Gesundheitsmanagements beim AG, Teilnahme an den Sitzungen des Steuerungskreises „Betriebliches Gesundheitsmanagement“.</w:t>
      </w:r>
    </w:p>
    <w:p>
      <w:pPr>
        <w:autoSpaceDE w:val="0"/>
        <w:autoSpaceDN w:val="0"/>
        <w:adjustRightInd w:val="0"/>
        <w:rPr>
          <w:rFonts w:cs="Arial"/>
        </w:rPr>
      </w:pPr>
    </w:p>
    <w:p>
      <w:pPr>
        <w:pStyle w:val="Listenabsatz"/>
        <w:numPr>
          <w:ilvl w:val="0"/>
          <w:numId w:val="6"/>
        </w:numPr>
        <w:autoSpaceDE w:val="0"/>
        <w:autoSpaceDN w:val="0"/>
        <w:adjustRightInd w:val="0"/>
        <w:ind w:left="360"/>
        <w:rPr>
          <w:rFonts w:cs="Arial"/>
        </w:rPr>
      </w:pPr>
      <w:r>
        <w:rPr>
          <w:rFonts w:cs="Arial"/>
        </w:rPr>
        <w:t>Unterstützung des AG in Fragen des Umgangs mit psychischen Belastungen z. B. durch Integration in die Gefährdungsbeurteilungen.</w:t>
      </w:r>
    </w:p>
    <w:p>
      <w:pPr>
        <w:autoSpaceDE w:val="0"/>
        <w:autoSpaceDN w:val="0"/>
        <w:adjustRightInd w:val="0"/>
        <w:rPr>
          <w:rFonts w:cs="Arial"/>
        </w:rPr>
      </w:pPr>
    </w:p>
    <w:p>
      <w:pPr>
        <w:numPr>
          <w:ilvl w:val="0"/>
          <w:numId w:val="1"/>
        </w:numPr>
        <w:autoSpaceDE w:val="0"/>
        <w:autoSpaceDN w:val="0"/>
        <w:adjustRightInd w:val="0"/>
        <w:ind w:left="360"/>
        <w:rPr>
          <w:rFonts w:cs="Arial"/>
        </w:rPr>
      </w:pPr>
      <w:r>
        <w:rPr>
          <w:rFonts w:cs="Arial"/>
        </w:rPr>
        <w:t xml:space="preserve">Mitwirken in betrieblichen Besprechungen z. B. Teilnahme an Sitzungen des Arbeitsschutz-ausschusses (AG Arbeitsschutz/-sicherheit), Besprechungen des AG mit seinen Führungskräften. </w:t>
      </w:r>
    </w:p>
    <w:p>
      <w:pPr>
        <w:autoSpaceDE w:val="0"/>
        <w:autoSpaceDN w:val="0"/>
        <w:adjustRightInd w:val="0"/>
        <w:rPr>
          <w:rFonts w:cs="Arial"/>
        </w:rPr>
      </w:pPr>
    </w:p>
    <w:p>
      <w:pPr>
        <w:numPr>
          <w:ilvl w:val="0"/>
          <w:numId w:val="1"/>
        </w:numPr>
        <w:tabs>
          <w:tab w:val="clear" w:pos="720"/>
          <w:tab w:val="num" w:pos="360"/>
        </w:tabs>
        <w:autoSpaceDE w:val="0"/>
        <w:autoSpaceDN w:val="0"/>
        <w:adjustRightInd w:val="0"/>
        <w:ind w:left="360"/>
        <w:rPr>
          <w:rFonts w:cs="Arial"/>
        </w:rPr>
      </w:pPr>
      <w:r>
        <w:rPr>
          <w:rFonts w:cs="Arial"/>
        </w:rPr>
        <w:t>Selbstorganisation, ständige Fortbildung organisieren (Aktualisierung und Erweiterung), Wissensmanagement entwickeln und nutzen, Erfassen und Aufarbeiten von Hinweisen der Beschäftigten.</w:t>
      </w:r>
    </w:p>
    <w:p>
      <w:pPr>
        <w:pStyle w:val="Listenabsatz"/>
        <w:ind w:left="360"/>
        <w:rPr>
          <w:rFonts w:cs="Arial"/>
        </w:rPr>
      </w:pPr>
    </w:p>
    <w:p>
      <w:pPr>
        <w:pStyle w:val="Listenabsatz"/>
        <w:numPr>
          <w:ilvl w:val="0"/>
          <w:numId w:val="6"/>
        </w:numPr>
        <w:autoSpaceDE w:val="0"/>
        <w:autoSpaceDN w:val="0"/>
        <w:adjustRightInd w:val="0"/>
        <w:ind w:left="360"/>
        <w:rPr>
          <w:rFonts w:cs="Arial"/>
        </w:rPr>
      </w:pPr>
      <w:r>
        <w:rPr>
          <w:rFonts w:cs="Arial"/>
        </w:rPr>
        <w:t>Erstellung von Dokumentationen und Meldepflichten.</w:t>
      </w:r>
    </w:p>
    <w:p>
      <w:pPr>
        <w:autoSpaceDE w:val="0"/>
        <w:autoSpaceDN w:val="0"/>
        <w:adjustRightInd w:val="0"/>
        <w:ind w:left="348"/>
        <w:rPr>
          <w:rFonts w:cs="Arial"/>
        </w:rPr>
      </w:pPr>
      <w:r>
        <w:rPr>
          <w:rFonts w:cs="Arial"/>
        </w:rPr>
        <w:t>Im Rahmen der Tätigkeit übernimmt der AN die Führung der der Unterlagen, die durch Gesetz oder Rechtsvorschriften für die sicherheitstechnische Betreuung vorgeschrieben sind, sowie die Überwachung der Nachuntersuchungstermine. Dazu gehört auch die Erstellung von Berichten, Protokollen, Stellungnahmen u. ä.</w:t>
      </w:r>
    </w:p>
    <w:p>
      <w:pPr>
        <w:autoSpaceDE w:val="0"/>
        <w:autoSpaceDN w:val="0"/>
        <w:adjustRightInd w:val="0"/>
        <w:rPr>
          <w:rFonts w:cs="Arial"/>
        </w:rPr>
      </w:pPr>
    </w:p>
    <w:p>
      <w:pPr>
        <w:autoSpaceDE w:val="0"/>
        <w:autoSpaceDN w:val="0"/>
        <w:adjustRightInd w:val="0"/>
        <w:rPr>
          <w:rFonts w:cs="Arial"/>
        </w:rPr>
      </w:pPr>
      <w:r>
        <w:rPr>
          <w:rFonts w:cs="Arial"/>
        </w:rPr>
        <w:t>Der AN koordiniert seine Tätigkeit mit dem zuständigen betriebsärztlichen Dienst und arbeitet mit diesem ebenso zusammen wie mit der Personalvertretung des Landkreises Göttingen (§ 9, 10 ASiG).</w:t>
      </w:r>
    </w:p>
    <w:p>
      <w:pPr>
        <w:autoSpaceDE w:val="0"/>
        <w:autoSpaceDN w:val="0"/>
        <w:adjustRightInd w:val="0"/>
        <w:rPr>
          <w:rFonts w:cs="Arial"/>
        </w:rPr>
      </w:pPr>
    </w:p>
    <w:p>
      <w:pPr>
        <w:autoSpaceDE w:val="0"/>
        <w:autoSpaceDN w:val="0"/>
        <w:adjustRightInd w:val="0"/>
        <w:rPr>
          <w:rFonts w:cs="Arial"/>
          <w:b/>
          <w:u w:val="single"/>
        </w:rPr>
      </w:pPr>
      <w:r>
        <w:rPr>
          <w:rFonts w:cs="Arial"/>
          <w:b/>
          <w:u w:val="single"/>
        </w:rPr>
        <w:t>IV. Betreuungsumfang/Einsatzzeiten</w:t>
      </w:r>
    </w:p>
    <w:p>
      <w:pPr>
        <w:autoSpaceDE w:val="0"/>
        <w:autoSpaceDN w:val="0"/>
        <w:adjustRightInd w:val="0"/>
        <w:rPr>
          <w:rFonts w:cs="Arial"/>
        </w:rPr>
      </w:pPr>
    </w:p>
    <w:p>
      <w:pPr>
        <w:autoSpaceDE w:val="0"/>
        <w:autoSpaceDN w:val="0"/>
        <w:adjustRightInd w:val="0"/>
        <w:rPr>
          <w:rFonts w:cs="Arial"/>
        </w:rPr>
      </w:pPr>
      <w:r>
        <w:rPr>
          <w:rFonts w:cs="Arial"/>
        </w:rPr>
        <w:t>Für die Berechnung der sicherheitstechnische Einsatzzeiten hat der Landkreis Göttingen rund 1.835 anrechenbare Mitarbeiterinnen und Mitarbeiter zugrunde gelegt (Stichtag 01.01.2026).</w:t>
      </w:r>
    </w:p>
    <w:p>
      <w:pPr>
        <w:autoSpaceDE w:val="0"/>
        <w:autoSpaceDN w:val="0"/>
        <w:adjustRightInd w:val="0"/>
        <w:rPr>
          <w:rFonts w:cs="Arial"/>
        </w:rPr>
      </w:pPr>
    </w:p>
    <w:p>
      <w:pPr>
        <w:autoSpaceDE w:val="0"/>
        <w:autoSpaceDN w:val="0"/>
        <w:adjustRightInd w:val="0"/>
        <w:rPr>
          <w:rFonts w:cs="Arial"/>
        </w:rPr>
      </w:pPr>
      <w:r>
        <w:rPr>
          <w:rFonts w:cs="Arial"/>
        </w:rPr>
        <w:t>Die Ermittlung der sicherheitstechnischen Gesamtbetreuung (Grundbetreuung und betriebsspezifische Betreuung) erfolgt anhand der Anlage 2 zu § 2 Abs. 3 DGUV Vorschrift 2. Danach ergibt sich eine Gesamteinsatzzeit von rund 746</w:t>
      </w:r>
      <w:r>
        <w:rPr>
          <w:rFonts w:cs="Arial"/>
          <w:bCs/>
        </w:rPr>
        <w:t xml:space="preserve"> Jahresstunden </w:t>
      </w:r>
      <w:r>
        <w:rPr>
          <w:rFonts w:cs="Arial"/>
        </w:rPr>
        <w:t>für das gesamte Jahr 2027</w:t>
      </w:r>
    </w:p>
    <w:p>
      <w:pPr>
        <w:autoSpaceDE w:val="0"/>
        <w:autoSpaceDN w:val="0"/>
        <w:adjustRightInd w:val="0"/>
        <w:rPr>
          <w:rFonts w:cs="Arial"/>
        </w:rPr>
      </w:pPr>
      <w:r>
        <w:rPr>
          <w:rFonts w:cs="Arial"/>
        </w:rPr>
        <w:t xml:space="preserve">Im Rahmen dieser Ausschreibungen werden für die Berechnung der Jahresgesamteinsatzzeit 746 Jahresstunden zugrunde gelegt. Die Jahresgesamteinsatzzeit von 746 Jahresstunden wird garantiert. </w:t>
      </w:r>
    </w:p>
    <w:p>
      <w:pPr>
        <w:autoSpaceDE w:val="0"/>
        <w:autoSpaceDN w:val="0"/>
        <w:adjustRightInd w:val="0"/>
        <w:rPr>
          <w:rFonts w:cs="Arial"/>
        </w:rPr>
      </w:pPr>
      <w:r>
        <w:rPr>
          <w:rFonts w:cs="Arial"/>
        </w:rPr>
        <w:t>Für die betriebsspezifische Betreuung sind dabei 200 Stunden fest einzurechnen.</w:t>
      </w:r>
    </w:p>
    <w:p>
      <w:pPr>
        <w:autoSpaceDE w:val="0"/>
        <w:autoSpaceDN w:val="0"/>
        <w:adjustRightInd w:val="0"/>
        <w:rPr>
          <w:rFonts w:cs="Arial"/>
        </w:rPr>
      </w:pPr>
    </w:p>
    <w:p>
      <w:pPr>
        <w:autoSpaceDE w:val="0"/>
        <w:autoSpaceDN w:val="0"/>
        <w:adjustRightInd w:val="0"/>
        <w:rPr>
          <w:rFonts w:cs="Arial"/>
        </w:rPr>
      </w:pPr>
      <w:r>
        <w:rPr>
          <w:rFonts w:cs="Arial"/>
        </w:rPr>
        <w:t xml:space="preserve">Der AN verpflichtet sich, die jährlichen Einsatzstunden am Bedarf orientiert sowie unter Beachtung der Betreuungszeiten zu verteilen. </w:t>
      </w:r>
    </w:p>
    <w:p>
      <w:pPr>
        <w:autoSpaceDE w:val="0"/>
        <w:autoSpaceDN w:val="0"/>
        <w:adjustRightInd w:val="0"/>
        <w:rPr>
          <w:rFonts w:cs="Arial"/>
        </w:rPr>
      </w:pPr>
    </w:p>
    <w:p>
      <w:pPr>
        <w:autoSpaceDE w:val="0"/>
        <w:autoSpaceDN w:val="0"/>
        <w:adjustRightInd w:val="0"/>
        <w:rPr>
          <w:rFonts w:cs="Arial"/>
        </w:rPr>
      </w:pPr>
      <w:r>
        <w:rPr>
          <w:rFonts w:cs="Arial"/>
        </w:rPr>
        <w:t>Mindestens 70 % der Einsatzzeit sollen als Leistung vor Ort (insbesondere Göttingen und Osterode am Harz) eingeplant werden. Die verbleibende Zeit entfällt pauschal auf Vor- und Nachbereitungen, Dokumentationen und Fortbildungen. Abweichende Regelungen sind hierzu im Einzelfall nach Rücksprache möglich.</w:t>
      </w:r>
    </w:p>
    <w:p>
      <w:pPr>
        <w:autoSpaceDE w:val="0"/>
        <w:autoSpaceDN w:val="0"/>
        <w:adjustRightInd w:val="0"/>
        <w:rPr>
          <w:rFonts w:cs="Arial"/>
        </w:rPr>
      </w:pPr>
      <w:r>
        <w:rPr>
          <w:rFonts w:cs="Arial"/>
        </w:rPr>
        <w:t>Bei Gefahr im Verzuge ist ein unverzüglicher Einsatz innerhalb der üblichen Geschäftszeiten sicherzustellen. Gutachten und Stellungnahmen sind dem AG grundsätzlich innerhalb von einer Woche nach Auftragserteilung vorzulegen.</w:t>
      </w:r>
    </w:p>
    <w:p>
      <w:pPr>
        <w:autoSpaceDE w:val="0"/>
        <w:autoSpaceDN w:val="0"/>
        <w:adjustRightInd w:val="0"/>
        <w:rPr>
          <w:rFonts w:cs="Arial"/>
        </w:rPr>
      </w:pPr>
    </w:p>
    <w:p>
      <w:pPr>
        <w:autoSpaceDE w:val="0"/>
        <w:autoSpaceDN w:val="0"/>
        <w:adjustRightInd w:val="0"/>
        <w:rPr>
          <w:rFonts w:cs="Arial"/>
        </w:rPr>
      </w:pPr>
      <w:r>
        <w:rPr>
          <w:rFonts w:cs="Arial"/>
        </w:rPr>
        <w:t xml:space="preserve">Bei der Wahrnehmung der Aufgaben werden auf die Einsatzzeiten </w:t>
      </w:r>
      <w:r>
        <w:rPr>
          <w:rFonts w:cs="Arial"/>
          <w:u w:val="single"/>
        </w:rPr>
        <w:t>nicht</w:t>
      </w:r>
      <w:r>
        <w:rPr>
          <w:rFonts w:cs="Arial"/>
        </w:rPr>
        <w:t xml:space="preserve"> angerechnet:</w:t>
      </w:r>
    </w:p>
    <w:p>
      <w:pPr>
        <w:pStyle w:val="Listenabsatz"/>
        <w:numPr>
          <w:ilvl w:val="0"/>
          <w:numId w:val="10"/>
        </w:numPr>
        <w:autoSpaceDE w:val="0"/>
        <w:autoSpaceDN w:val="0"/>
        <w:adjustRightInd w:val="0"/>
        <w:rPr>
          <w:rFonts w:cs="Arial"/>
        </w:rPr>
      </w:pPr>
      <w:r>
        <w:rPr>
          <w:rFonts w:cs="Arial"/>
        </w:rPr>
        <w:t>Fahrtzeiten, Pausen, Fehlzeiten durch Urlaub und Krankheit der Fachkraft für Arbeitssicherheit, Arbeitszeiten des Assistenz- und Hilfspersonals.</w:t>
      </w:r>
    </w:p>
    <w:p>
      <w:pPr>
        <w:autoSpaceDE w:val="0"/>
        <w:autoSpaceDN w:val="0"/>
        <w:adjustRightInd w:val="0"/>
        <w:rPr>
          <w:rFonts w:cs="Arial"/>
        </w:rPr>
      </w:pPr>
    </w:p>
    <w:p>
      <w:pPr>
        <w:autoSpaceDE w:val="0"/>
        <w:autoSpaceDN w:val="0"/>
        <w:adjustRightInd w:val="0"/>
        <w:rPr>
          <w:rFonts w:cs="Arial"/>
        </w:rPr>
      </w:pPr>
      <w:r>
        <w:rPr>
          <w:rFonts w:cs="Arial"/>
        </w:rPr>
        <w:t>Bei einer ggf. zu erwartenden Ausweitung der Einsatzzeiten im jeweils laufenden Kalenderjahr hat der AN den AG rechtzeitig zu unterrichten, um evtl. Gegensteuerungsmaßnahmen mit ihm abzustimmen. Sollte die Ausweitung der Gesamteinsatzzeit erforderlich sein, bedarf dies der vorherigen Zustimmung des AG.</w:t>
      </w:r>
    </w:p>
    <w:p>
      <w:pPr>
        <w:autoSpaceDE w:val="0"/>
        <w:autoSpaceDN w:val="0"/>
        <w:adjustRightInd w:val="0"/>
        <w:rPr>
          <w:rFonts w:cs="Arial"/>
        </w:rPr>
      </w:pPr>
    </w:p>
    <w:p>
      <w:pPr>
        <w:rPr>
          <w:rFonts w:cs="Arial"/>
        </w:rPr>
      </w:pPr>
      <w:r>
        <w:rPr>
          <w:rFonts w:ascii="Calibri" w:hAnsi="Calibri"/>
        </w:rPr>
        <w:t xml:space="preserve">Der AG erwartet </w:t>
      </w:r>
      <w:r>
        <w:rPr>
          <w:rFonts w:ascii="Calibri" w:hAnsi="Calibri"/>
          <w:bCs/>
        </w:rPr>
        <w:t xml:space="preserve">seitens des AN die Sicherstellung der Erreichbarkeit </w:t>
      </w:r>
      <w:r>
        <w:rPr>
          <w:rFonts w:ascii="Calibri" w:hAnsi="Calibri"/>
        </w:rPr>
        <w:t xml:space="preserve">(u. a. Sprechzeiten, telefonische Erreichbarkeit) </w:t>
      </w:r>
      <w:r>
        <w:rPr>
          <w:rFonts w:ascii="Calibri" w:hAnsi="Calibri"/>
          <w:bCs/>
        </w:rPr>
        <w:t xml:space="preserve">sowie die Verfügbarkeit des AN für die Kreisverwaltung innerhalb der üblichen Geschäftszeiten. Es wird vorausgesetzt, dass der AN bei dringendem Bedarf der Leistungserbringung die geforderten Leistungen </w:t>
      </w:r>
      <w:r>
        <w:rPr>
          <w:rFonts w:ascii="Calibri" w:hAnsi="Calibri"/>
        </w:rPr>
        <w:t>für die Kreisverwaltung</w:t>
      </w:r>
      <w:r>
        <w:rPr>
          <w:rFonts w:ascii="Calibri" w:hAnsi="Calibri"/>
          <w:bCs/>
        </w:rPr>
        <w:t xml:space="preserve"> in einer Reaktionszeit von höchstens drei Stunden innerhalb der üblichen Geschäftszeiten erbringt. </w:t>
      </w:r>
      <w:r>
        <w:rPr>
          <w:rFonts w:ascii="Calibri" w:hAnsi="Calibri"/>
        </w:rPr>
        <w:t xml:space="preserve">Hinsichtlich der Erreichbarkeit sowie der Verfügbarkeit für die Kreisverwaltung sind seitens des Bieters Ausführungen im Konzept vorzunehmen. </w:t>
      </w:r>
      <w:r>
        <w:rPr>
          <w:rFonts w:ascii="Calibri" w:hAnsi="Calibri"/>
          <w:color w:val="FF0000"/>
        </w:rPr>
        <w:br/>
      </w:r>
    </w:p>
    <w:p>
      <w:pPr>
        <w:autoSpaceDE w:val="0"/>
        <w:autoSpaceDN w:val="0"/>
        <w:adjustRightInd w:val="0"/>
        <w:rPr>
          <w:rFonts w:cs="Arial"/>
          <w:b/>
          <w:u w:val="single"/>
        </w:rPr>
      </w:pPr>
      <w:r>
        <w:rPr>
          <w:rFonts w:cs="Arial"/>
          <w:b/>
          <w:u w:val="single"/>
        </w:rPr>
        <w:t>V. Leistungs-/ Einsatzort</w:t>
      </w:r>
    </w:p>
    <w:p>
      <w:pPr>
        <w:autoSpaceDE w:val="0"/>
        <w:autoSpaceDN w:val="0"/>
        <w:adjustRightInd w:val="0"/>
        <w:rPr>
          <w:rFonts w:cs="Arial"/>
          <w:b/>
        </w:rPr>
      </w:pPr>
    </w:p>
    <w:p>
      <w:pPr>
        <w:autoSpaceDE w:val="0"/>
        <w:autoSpaceDN w:val="0"/>
        <w:adjustRightInd w:val="0"/>
        <w:rPr>
          <w:rFonts w:cs="Arial"/>
        </w:rPr>
      </w:pPr>
      <w:r>
        <w:rPr>
          <w:rFonts w:cs="Arial"/>
        </w:rPr>
        <w:t>Sämtliche für die Durchführung der Untersuchungen erforderlichen Einrichtungen und technischen Geräte einschließlich der Messtechnik für die Beurteilung von Arbeitsbelastungen und Gefährdungen und das Hilfspersonal sind vom AN zu stellen. Hierfür dürfen dem AG keine zusätzlichen Kosten entstehen. Sofern ausnahmsweise für Untersuchungen und Messungen Leistungen Dritter in Anspruch genommen werden müssen, unterliegt dies der Zustimmung durch den AG.</w:t>
      </w:r>
    </w:p>
    <w:p>
      <w:pPr>
        <w:autoSpaceDE w:val="0"/>
        <w:autoSpaceDN w:val="0"/>
        <w:adjustRightInd w:val="0"/>
        <w:rPr>
          <w:rFonts w:cs="Arial"/>
        </w:rPr>
      </w:pPr>
      <w:r>
        <w:rPr>
          <w:rFonts w:cs="Arial"/>
        </w:rPr>
        <w:t>Leistungen wie Beratungen, Begehungen, Schulungen erfolgen grundsätzlich in den Einrichtungen des AG.</w:t>
      </w:r>
    </w:p>
    <w:p>
      <w:pPr>
        <w:rPr>
          <w:rFonts w:ascii="Calibri" w:hAnsi="Calibri"/>
        </w:rPr>
      </w:pPr>
      <w:r>
        <w:rPr>
          <w:rFonts w:cs="Arial"/>
        </w:rPr>
        <w:t xml:space="preserve">Ein kurzfristiger Einsatz vor Ort aufgrund besonderer Situationen ist vom AN in den üblichen Geschäftszeiten sicherzustellen. </w:t>
      </w:r>
      <w:r>
        <w:rPr>
          <w:rFonts w:ascii="Calibri" w:hAnsi="Calibri"/>
        </w:rPr>
        <w:t>Die räumliche Nähe der Geschäftsräume wird vorausgesetzt (Kreisgebiet oder unmittelbar angrenzend).</w:t>
      </w:r>
    </w:p>
    <w:p>
      <w:pPr>
        <w:autoSpaceDE w:val="0"/>
        <w:autoSpaceDN w:val="0"/>
        <w:adjustRightInd w:val="0"/>
        <w:rPr>
          <w:rFonts w:cs="Arial"/>
        </w:rPr>
      </w:pPr>
    </w:p>
    <w:p>
      <w:pPr>
        <w:autoSpaceDE w:val="0"/>
        <w:autoSpaceDN w:val="0"/>
        <w:adjustRightInd w:val="0"/>
        <w:rPr>
          <w:rFonts w:cs="Arial"/>
        </w:rPr>
      </w:pPr>
    </w:p>
    <w:p>
      <w:pPr>
        <w:autoSpaceDE w:val="0"/>
        <w:autoSpaceDN w:val="0"/>
        <w:adjustRightInd w:val="0"/>
        <w:rPr>
          <w:rFonts w:cs="Arial"/>
          <w:b/>
          <w:u w:val="single"/>
        </w:rPr>
      </w:pPr>
      <w:r>
        <w:rPr>
          <w:rFonts w:cs="Arial"/>
          <w:b/>
          <w:u w:val="single"/>
        </w:rPr>
        <w:t>VI. Mitwirkungspflichten des AG</w:t>
      </w:r>
    </w:p>
    <w:p>
      <w:pPr>
        <w:autoSpaceDE w:val="0"/>
        <w:autoSpaceDN w:val="0"/>
        <w:adjustRightInd w:val="0"/>
        <w:rPr>
          <w:rFonts w:cs="Arial"/>
          <w:b/>
        </w:rPr>
      </w:pPr>
    </w:p>
    <w:p>
      <w:pPr>
        <w:autoSpaceDE w:val="0"/>
        <w:autoSpaceDN w:val="0"/>
        <w:adjustRightInd w:val="0"/>
        <w:rPr>
          <w:rFonts w:cs="Arial"/>
        </w:rPr>
      </w:pPr>
      <w:r>
        <w:rPr>
          <w:rFonts w:cs="Arial"/>
        </w:rPr>
        <w:t>Der AG wird dem AN alle für eine ordnungsgemäße Betreuung erforderlichen Informationen und Auskünfte erteilen und ggf. Einsicht in entsprechende Unterlagen gewähren. Der AG stellt die Beschäftigten zu den erforderlichen Terminen frei.</w:t>
      </w:r>
    </w:p>
    <w:p>
      <w:pPr>
        <w:autoSpaceDE w:val="0"/>
        <w:autoSpaceDN w:val="0"/>
        <w:adjustRightInd w:val="0"/>
        <w:rPr>
          <w:rFonts w:cs="Arial"/>
        </w:rPr>
      </w:pPr>
    </w:p>
    <w:p>
      <w:pPr>
        <w:autoSpaceDE w:val="0"/>
        <w:autoSpaceDN w:val="0"/>
        <w:adjustRightInd w:val="0"/>
        <w:rPr>
          <w:rFonts w:cs="Arial"/>
        </w:rPr>
      </w:pPr>
      <w:r>
        <w:rPr>
          <w:rFonts w:cs="Arial"/>
        </w:rPr>
        <w:t>Der AG ermöglicht dem sicherheitstechnischen Dienst den freien Zugang zu allen Betriebsteilen und -räumen, die sicherheitstechnisch zu begehen sind. Es wird gewährleistet, dass sicherheitstechnische Begehungen jeweils durch eine Vertretung des AG begleitet werden.</w:t>
      </w:r>
    </w:p>
    <w:p>
      <w:pPr>
        <w:autoSpaceDE w:val="0"/>
        <w:autoSpaceDN w:val="0"/>
        <w:adjustRightInd w:val="0"/>
        <w:rPr>
          <w:rFonts w:cs="Arial"/>
        </w:rPr>
      </w:pPr>
    </w:p>
    <w:p>
      <w:pPr>
        <w:autoSpaceDE w:val="0"/>
        <w:autoSpaceDN w:val="0"/>
        <w:adjustRightInd w:val="0"/>
        <w:rPr>
          <w:rFonts w:cs="Arial"/>
          <w:color w:val="FF0000"/>
        </w:rPr>
      </w:pPr>
      <w:r>
        <w:rPr>
          <w:rFonts w:cs="Arial"/>
        </w:rPr>
        <w:t>Die Einrichtung von regelmäßigen Sprechstunden, die Festlegung von sonstigen Terminen und Betriebsbegehungen erfolgen nach vorheriger Terminabsprache. Vorgaben des AG sind zu berücksichtigen.</w:t>
      </w:r>
    </w:p>
    <w:p>
      <w:pPr>
        <w:autoSpaceDE w:val="0"/>
        <w:autoSpaceDN w:val="0"/>
        <w:adjustRightInd w:val="0"/>
        <w:rPr>
          <w:rFonts w:cs="Arial"/>
        </w:rPr>
      </w:pPr>
    </w:p>
    <w:p>
      <w:pPr>
        <w:autoSpaceDE w:val="0"/>
        <w:autoSpaceDN w:val="0"/>
        <w:adjustRightInd w:val="0"/>
        <w:rPr>
          <w:rFonts w:cs="Arial"/>
        </w:rPr>
      </w:pPr>
      <w:r>
        <w:rPr>
          <w:rFonts w:cs="Arial"/>
        </w:rPr>
        <w:t>Der AG stellt die Zusammenarbeit mit der Personalvertretung (§ 9 ASiG), die Zusammenarbeit zwischen dem betriebsärztlichen Dienst und der Fachkraft für Arbeitssicherheit (§ 10 ASiG) sowie die Teilnahme an Sitzungen einer dem Arbeitsschutzausschuss (§ 11 ASiG) vergleichbaren Arbeitsgruppe sicher.</w:t>
      </w:r>
    </w:p>
    <w:p>
      <w:pPr>
        <w:autoSpaceDE w:val="0"/>
        <w:autoSpaceDN w:val="0"/>
        <w:adjustRightInd w:val="0"/>
        <w:rPr>
          <w:rFonts w:cs="Arial"/>
        </w:rPr>
      </w:pPr>
    </w:p>
    <w:p>
      <w:pPr>
        <w:autoSpaceDE w:val="0"/>
        <w:autoSpaceDN w:val="0"/>
        <w:adjustRightInd w:val="0"/>
        <w:rPr>
          <w:rFonts w:cs="Arial"/>
        </w:rPr>
      </w:pPr>
      <w:r>
        <w:rPr>
          <w:rFonts w:cs="Arial"/>
        </w:rPr>
        <w:t>Der AG hat keine Weisungsbefugnis gegenüber der Fachkraft für Arbeitssicherheit.</w:t>
      </w:r>
    </w:p>
    <w:p>
      <w:pPr>
        <w:autoSpaceDE w:val="0"/>
        <w:autoSpaceDN w:val="0"/>
        <w:adjustRightInd w:val="0"/>
        <w:rPr>
          <w:rFonts w:cs="Arial"/>
        </w:rPr>
      </w:pPr>
    </w:p>
    <w:p>
      <w:pPr>
        <w:autoSpaceDE w:val="0"/>
        <w:autoSpaceDN w:val="0"/>
        <w:adjustRightInd w:val="0"/>
        <w:rPr>
          <w:rFonts w:cs="Arial"/>
        </w:rPr>
      </w:pPr>
    </w:p>
    <w:p>
      <w:pPr>
        <w:autoSpaceDE w:val="0"/>
        <w:autoSpaceDN w:val="0"/>
        <w:adjustRightInd w:val="0"/>
        <w:rPr>
          <w:rFonts w:cs="Arial"/>
          <w:b/>
          <w:u w:val="single"/>
        </w:rPr>
      </w:pPr>
      <w:r>
        <w:rPr>
          <w:rFonts w:cs="Arial"/>
          <w:b/>
          <w:u w:val="single"/>
        </w:rPr>
        <w:t>VII. Vergütung der sicherheitstechnischen Tätigkeit, Betreuungsnachweis und Rechnungslegung</w:t>
      </w:r>
    </w:p>
    <w:p>
      <w:pPr>
        <w:autoSpaceDE w:val="0"/>
        <w:autoSpaceDN w:val="0"/>
        <w:adjustRightInd w:val="0"/>
        <w:rPr>
          <w:rFonts w:cs="Arial"/>
          <w:b/>
        </w:rPr>
      </w:pPr>
    </w:p>
    <w:p>
      <w:pPr>
        <w:pStyle w:val="Listenabsatz"/>
        <w:numPr>
          <w:ilvl w:val="0"/>
          <w:numId w:val="11"/>
        </w:numPr>
        <w:autoSpaceDE w:val="0"/>
        <w:autoSpaceDN w:val="0"/>
        <w:adjustRightInd w:val="0"/>
        <w:rPr>
          <w:rFonts w:cs="Arial"/>
          <w:b/>
        </w:rPr>
      </w:pPr>
      <w:r>
        <w:rPr>
          <w:rFonts w:cs="Arial"/>
          <w:b/>
        </w:rPr>
        <w:t>Sicherheitstechnische Leistungen</w:t>
      </w:r>
    </w:p>
    <w:p>
      <w:pPr>
        <w:autoSpaceDE w:val="0"/>
        <w:autoSpaceDN w:val="0"/>
        <w:adjustRightInd w:val="0"/>
        <w:rPr>
          <w:rFonts w:cs="Arial"/>
        </w:rPr>
      </w:pPr>
      <w:r>
        <w:rPr>
          <w:rFonts w:cs="Arial"/>
        </w:rPr>
        <w:t>Für die Erfüllung der Aufgaben bezahlt der AG dem AN eine Summe, die sich aus der Multiplikation der Vergütung je Einsatzstunde mit der Anzahl der Einsatzstunden ergibt.</w:t>
      </w:r>
    </w:p>
    <w:p>
      <w:pPr>
        <w:autoSpaceDE w:val="0"/>
        <w:autoSpaceDN w:val="0"/>
        <w:adjustRightInd w:val="0"/>
        <w:rPr>
          <w:rFonts w:cs="Arial"/>
        </w:rPr>
      </w:pPr>
      <w:r>
        <w:rPr>
          <w:rFonts w:cs="Arial"/>
        </w:rPr>
        <w:t>Mit der Vergütung sind alle notwendigen Arbeiten und Ausgaben zur Erfüllung der Leistungen aus der Leistungsbeschreibung abgegolten.</w:t>
      </w:r>
    </w:p>
    <w:p>
      <w:pPr>
        <w:autoSpaceDE w:val="0"/>
        <w:autoSpaceDN w:val="0"/>
        <w:adjustRightInd w:val="0"/>
        <w:rPr>
          <w:rFonts w:cs="Arial"/>
        </w:rPr>
      </w:pPr>
      <w:r>
        <w:rPr>
          <w:rFonts w:cs="Arial"/>
        </w:rPr>
        <w:t xml:space="preserve">Die Vergütung enthält sämtliche zur Leistungserbringung notwendigen Kosten und Nebenkosten, wie z. B. Spesen, Reisekosten, Verwaltungskosten, Miete, Gerätschaften, Verbrauchsmaterial, </w:t>
      </w:r>
      <w:r>
        <w:rPr>
          <w:rFonts w:cs="Arial"/>
        </w:rPr>
        <w:lastRenderedPageBreak/>
        <w:t>Versicherungskosten sowie die Kosten für Untersuchungen und Messungen gemäß Rechtsvorschriften.</w:t>
      </w:r>
    </w:p>
    <w:p>
      <w:pPr>
        <w:autoSpaceDE w:val="0"/>
        <w:autoSpaceDN w:val="0"/>
        <w:adjustRightInd w:val="0"/>
        <w:rPr>
          <w:rFonts w:cs="Arial"/>
        </w:rPr>
      </w:pPr>
      <w:r>
        <w:rPr>
          <w:rFonts w:cs="Arial"/>
        </w:rPr>
        <w:t>Sofern ausnahmsweise für Untersuchungen und Messungen Leistungen Dritter in Anspruch genommen werden müssen, unterliegt dies der Zustimmung durch den AG. Bei Zustimmung erfolgt die Kostenübernahme durch den AG.</w:t>
      </w:r>
    </w:p>
    <w:p>
      <w:pPr>
        <w:autoSpaceDE w:val="0"/>
        <w:autoSpaceDN w:val="0"/>
        <w:adjustRightInd w:val="0"/>
        <w:rPr>
          <w:rFonts w:cs="Arial"/>
        </w:rPr>
      </w:pPr>
    </w:p>
    <w:p>
      <w:pPr>
        <w:autoSpaceDE w:val="0"/>
        <w:autoSpaceDN w:val="0"/>
        <w:adjustRightInd w:val="0"/>
        <w:rPr>
          <w:szCs w:val="21"/>
        </w:rPr>
      </w:pPr>
      <w:r>
        <w:rPr>
          <w:szCs w:val="21"/>
        </w:rPr>
        <w:t xml:space="preserve">Die monatlich erbrachten Einsatzzeiten sind zu dokumentieren und jeweils bis spätestens zum 10. des Folgemonats mit der Rechnungsstellung beim Landkreis Göttingen, Fachbereich Innere Dienste, Reinhäuser Landstr. 4, 37083 Göttingen, einzureichen. Die entsprechenden Rechnungsbeträge werden daraufhin monatlich vom AG unverzüglich auf das angegebene Konto des AN überwiesen. </w:t>
      </w:r>
    </w:p>
    <w:p>
      <w:pPr>
        <w:autoSpaceDE w:val="0"/>
        <w:autoSpaceDN w:val="0"/>
        <w:adjustRightInd w:val="0"/>
        <w:rPr>
          <w:szCs w:val="21"/>
        </w:rPr>
      </w:pPr>
    </w:p>
    <w:p>
      <w:pPr>
        <w:autoSpaceDE w:val="0"/>
        <w:autoSpaceDN w:val="0"/>
        <w:adjustRightInd w:val="0"/>
        <w:rPr>
          <w:rFonts w:cs="Arial"/>
        </w:rPr>
      </w:pPr>
      <w:r>
        <w:rPr>
          <w:rFonts w:cs="Arial"/>
        </w:rPr>
        <w:t xml:space="preserve">Eine Schlussabrechnung für das abgelaufene Vertragsjahr hat jeweils bis zum 20.01. des darauffolgenden Jahres zu erfolgen. </w:t>
      </w:r>
    </w:p>
    <w:p>
      <w:pPr>
        <w:autoSpaceDE w:val="0"/>
        <w:autoSpaceDN w:val="0"/>
        <w:adjustRightInd w:val="0"/>
        <w:rPr>
          <w:rFonts w:cs="Arial"/>
        </w:rPr>
      </w:pPr>
      <w:r>
        <w:rPr>
          <w:rFonts w:cs="Arial"/>
        </w:rPr>
        <w:t>Folgende Angaben sind notwendig: Tag und Dauer der Leistungserbringung, Art der Leistung (z. B. Arbeitsplatzbegehung, Teilnahme an Arbeitsschutzausschuss usw.).</w:t>
      </w:r>
    </w:p>
    <w:p>
      <w:pPr>
        <w:autoSpaceDE w:val="0"/>
        <w:autoSpaceDN w:val="0"/>
        <w:adjustRightInd w:val="0"/>
        <w:rPr>
          <w:rFonts w:cs="Arial"/>
        </w:rPr>
      </w:pPr>
      <w:r>
        <w:rPr>
          <w:rFonts w:cs="Arial"/>
        </w:rPr>
        <w:t>Für die Entsorgungsanlagen sind separate Rechnungen zu erstellen.</w:t>
      </w:r>
    </w:p>
    <w:p>
      <w:pPr>
        <w:autoSpaceDE w:val="0"/>
        <w:autoSpaceDN w:val="0"/>
        <w:adjustRightInd w:val="0"/>
        <w:rPr>
          <w:rFonts w:cs="Arial"/>
          <w:color w:val="FF0000"/>
        </w:rPr>
      </w:pPr>
    </w:p>
    <w:p>
      <w:pPr>
        <w:autoSpaceDE w:val="0"/>
        <w:autoSpaceDN w:val="0"/>
        <w:adjustRightInd w:val="0"/>
        <w:rPr>
          <w:rFonts w:cs="Arial"/>
        </w:rPr>
      </w:pPr>
    </w:p>
    <w:p>
      <w:pPr>
        <w:autoSpaceDE w:val="0"/>
        <w:autoSpaceDN w:val="0"/>
        <w:adjustRightInd w:val="0"/>
        <w:rPr>
          <w:rFonts w:cs="Arial"/>
          <w:b/>
          <w:u w:val="single"/>
        </w:rPr>
      </w:pPr>
      <w:r>
        <w:rPr>
          <w:rFonts w:cs="Arial"/>
          <w:b/>
          <w:u w:val="single"/>
        </w:rPr>
        <w:t>VIII. Datenschutz</w:t>
      </w:r>
    </w:p>
    <w:p>
      <w:pPr>
        <w:autoSpaceDE w:val="0"/>
        <w:autoSpaceDN w:val="0"/>
        <w:adjustRightInd w:val="0"/>
        <w:rPr>
          <w:rFonts w:cs="Arial"/>
          <w:b/>
        </w:rPr>
      </w:pPr>
    </w:p>
    <w:p>
      <w:pPr>
        <w:autoSpaceDE w:val="0"/>
        <w:autoSpaceDN w:val="0"/>
        <w:adjustRightInd w:val="0"/>
        <w:rPr>
          <w:rFonts w:cs="Arial"/>
        </w:rPr>
      </w:pPr>
      <w:r>
        <w:rPr>
          <w:rFonts w:cs="Arial"/>
        </w:rPr>
        <w:t xml:space="preserve">Der AN unterwirft sich denselben datenschutzrechtlichen Anforderungen, die für den AG gelten           (§ 80  Sozialgesetzbuch Zehntes Buch - SGB X). Der AN darf ausschließlich Personal einsetzen, das gemäß § 1 des </w:t>
      </w:r>
      <w:r>
        <w:rPr>
          <w:rFonts w:cs="Arial"/>
          <w:bCs/>
        </w:rPr>
        <w:t>Gesetzes über die förmliche Verpflichtung nichtbeamteter Personen</w:t>
      </w:r>
      <w:r>
        <w:rPr>
          <w:rFonts w:cs="Arial"/>
        </w:rPr>
        <w:t xml:space="preserve"> auf das Datengeheimnis (§ 5 Bundesdatenschutzgesetz, § 5 Niedersächsisches Datenschutzgesetz) und das Sozialgeheimnis (§ 35 SGB I) verpflichtet ist. Diese Verpflichtungen müssen dokumentiert sein. Der AN stellt sicher, dass alle Personen, die von ihm mit der Bearbeitung oder Erfüllung des Vertrages betraut sind, die gesetzlichen Bestimmungen über den Datenschutz beachten. Die nach Datenschutzrecht erforderliche Verpflichtung auf das Datengeheimnis ist spätestens vor der erstmaligen Aufnahme der Tätigkeit vorzunehmen.</w:t>
      </w:r>
    </w:p>
    <w:p>
      <w:pPr>
        <w:autoSpaceDE w:val="0"/>
        <w:autoSpaceDN w:val="0"/>
        <w:adjustRightInd w:val="0"/>
        <w:rPr>
          <w:rFonts w:cs="Arial"/>
        </w:rPr>
      </w:pPr>
    </w:p>
    <w:p>
      <w:pPr>
        <w:autoSpaceDE w:val="0"/>
        <w:autoSpaceDN w:val="0"/>
        <w:adjustRightInd w:val="0"/>
        <w:rPr>
          <w:rFonts w:cs="Arial"/>
        </w:rPr>
      </w:pPr>
      <w:r>
        <w:rPr>
          <w:rFonts w:cs="Arial"/>
        </w:rPr>
        <w:t>Über alle Angelegenheiten, die im Rahmen der Betreuung von Bediensteten und Beratung des AG offenbart werden, hat der AN und sein eingesetztes Personal Stillschweigen zu bewahren.</w:t>
      </w:r>
    </w:p>
    <w:p>
      <w:pPr>
        <w:autoSpaceDE w:val="0"/>
        <w:autoSpaceDN w:val="0"/>
        <w:adjustRightInd w:val="0"/>
        <w:rPr>
          <w:rFonts w:cs="Arial"/>
        </w:rPr>
      </w:pPr>
      <w:r>
        <w:rPr>
          <w:rFonts w:cs="Arial"/>
        </w:rPr>
        <w:t>Der AN hat die ihm überlassenen Aufzeichnungen der sicherheitstechnischen Tätigkeit aus der Zeit vor Vertragsbeginn zu übernehmen und weiterzuführen.</w:t>
      </w:r>
    </w:p>
    <w:p>
      <w:pPr>
        <w:autoSpaceDE w:val="0"/>
        <w:autoSpaceDN w:val="0"/>
        <w:adjustRightInd w:val="0"/>
        <w:rPr>
          <w:rFonts w:cs="Arial"/>
        </w:rPr>
      </w:pPr>
      <w:r>
        <w:rPr>
          <w:rFonts w:cs="Arial"/>
        </w:rPr>
        <w:t>Bei Vertragsbeendigung sind  - unter Beachtung des Datenschutzrechts - alle Daten dem nachfolgenden AN zu übergeben.</w:t>
      </w:r>
    </w:p>
    <w:p>
      <w:pPr>
        <w:autoSpaceDE w:val="0"/>
        <w:autoSpaceDN w:val="0"/>
        <w:adjustRightInd w:val="0"/>
        <w:rPr>
          <w:rFonts w:cs="Arial"/>
        </w:rPr>
      </w:pPr>
    </w:p>
    <w:p>
      <w:pPr>
        <w:autoSpaceDE w:val="0"/>
        <w:autoSpaceDN w:val="0"/>
        <w:adjustRightInd w:val="0"/>
        <w:rPr>
          <w:rFonts w:cs="Arial"/>
        </w:rPr>
      </w:pPr>
    </w:p>
    <w:p>
      <w:pPr>
        <w:autoSpaceDE w:val="0"/>
        <w:autoSpaceDN w:val="0"/>
        <w:adjustRightInd w:val="0"/>
        <w:rPr>
          <w:rFonts w:cs="Arial"/>
          <w:b/>
          <w:u w:val="single"/>
        </w:rPr>
      </w:pPr>
      <w:r>
        <w:rPr>
          <w:rFonts w:cs="Arial"/>
          <w:b/>
          <w:u w:val="single"/>
        </w:rPr>
        <w:t>IX. Geheimhaltung</w:t>
      </w:r>
    </w:p>
    <w:p>
      <w:pPr>
        <w:autoSpaceDE w:val="0"/>
        <w:autoSpaceDN w:val="0"/>
        <w:adjustRightInd w:val="0"/>
        <w:rPr>
          <w:rFonts w:cs="Arial"/>
          <w:b/>
        </w:rPr>
      </w:pPr>
    </w:p>
    <w:p>
      <w:pPr>
        <w:autoSpaceDE w:val="0"/>
        <w:autoSpaceDN w:val="0"/>
        <w:adjustRightInd w:val="0"/>
        <w:rPr>
          <w:rFonts w:cs="Arial"/>
        </w:rPr>
      </w:pPr>
      <w:r>
        <w:rPr>
          <w:rFonts w:cs="Arial"/>
        </w:rPr>
        <w:t>Der AN hat alle Geschäfts- und Betriebsgeheimnisse des AG geheim zu halten. Hierzu gehören insbesondere alle als vertraulich, verwaltungsintern gekennzeichneten oder als solche erkennbaren Unterlagen und Gesprächsinhalte. Diese Verpflichtung bleibt auch nach Beendigung des Vertragsverhältnisses bestehen. Eine Weitergabe an Dritte ist unzulässig.</w:t>
      </w:r>
    </w:p>
    <w:p>
      <w:pPr>
        <w:autoSpaceDE w:val="0"/>
        <w:autoSpaceDN w:val="0"/>
        <w:adjustRightInd w:val="0"/>
        <w:rPr>
          <w:rFonts w:cs="Arial"/>
        </w:rPr>
      </w:pPr>
    </w:p>
    <w:p>
      <w:pPr>
        <w:autoSpaceDE w:val="0"/>
        <w:autoSpaceDN w:val="0"/>
        <w:adjustRightInd w:val="0"/>
        <w:rPr>
          <w:rFonts w:cs="Arial"/>
        </w:rPr>
      </w:pPr>
      <w:r>
        <w:rPr>
          <w:rFonts w:cs="Arial"/>
        </w:rPr>
        <w:t>Die vorstehenden Verpflichtungen sind auch von dem eingesetzten Hilfspersonal einzuhalten. Sämtliche Unterlagen, die der AN im Rahmen dieses Auftrages erhält, sich beschafft oder vom AG überlassen werden, hat der AN grundsätzlich bei Beendigung der Leistung, Kündigung oder bei Rechtsstreitigkeiten auf Verlangen zurückzugeben. Ein Zurückbehaltungsrecht des AN ist ausgeschlossen.</w:t>
      </w:r>
    </w:p>
    <w:p>
      <w:pPr>
        <w:autoSpaceDE w:val="0"/>
        <w:autoSpaceDN w:val="0"/>
        <w:adjustRightInd w:val="0"/>
        <w:rPr>
          <w:rFonts w:cs="Arial"/>
          <w:b/>
        </w:rPr>
      </w:pPr>
    </w:p>
    <w:p>
      <w:pPr>
        <w:autoSpaceDE w:val="0"/>
        <w:autoSpaceDN w:val="0"/>
        <w:adjustRightInd w:val="0"/>
        <w:rPr>
          <w:rFonts w:cs="Arial"/>
          <w:b/>
        </w:rPr>
      </w:pPr>
    </w:p>
    <w:p>
      <w:pPr>
        <w:autoSpaceDE w:val="0"/>
        <w:autoSpaceDN w:val="0"/>
        <w:adjustRightInd w:val="0"/>
        <w:rPr>
          <w:rFonts w:cs="Arial"/>
          <w:b/>
        </w:rPr>
      </w:pPr>
    </w:p>
    <w:p>
      <w:pPr>
        <w:autoSpaceDE w:val="0"/>
        <w:autoSpaceDN w:val="0"/>
        <w:adjustRightInd w:val="0"/>
        <w:rPr>
          <w:rFonts w:cs="Arial"/>
          <w:b/>
        </w:rPr>
      </w:pPr>
    </w:p>
    <w:p>
      <w:pPr>
        <w:autoSpaceDE w:val="0"/>
        <w:autoSpaceDN w:val="0"/>
        <w:adjustRightInd w:val="0"/>
        <w:rPr>
          <w:rFonts w:cs="Arial"/>
          <w:b/>
          <w:u w:val="single"/>
        </w:rPr>
      </w:pPr>
      <w:r>
        <w:rPr>
          <w:rFonts w:cs="Arial"/>
          <w:b/>
          <w:bCs/>
          <w:u w:val="single"/>
        </w:rPr>
        <w:lastRenderedPageBreak/>
        <w:t>X. Recht zur vorzeitigen Kündigung des Vertrages</w:t>
      </w:r>
    </w:p>
    <w:p>
      <w:pPr>
        <w:autoSpaceDE w:val="0"/>
        <w:autoSpaceDN w:val="0"/>
        <w:adjustRightInd w:val="0"/>
        <w:rPr>
          <w:rFonts w:cs="Arial"/>
          <w:b/>
        </w:rPr>
      </w:pPr>
    </w:p>
    <w:p>
      <w:pPr>
        <w:autoSpaceDE w:val="0"/>
        <w:autoSpaceDN w:val="0"/>
        <w:adjustRightInd w:val="0"/>
        <w:rPr>
          <w:rFonts w:cs="Arial"/>
        </w:rPr>
      </w:pPr>
      <w:r>
        <w:rPr>
          <w:rFonts w:cs="Arial"/>
        </w:rPr>
        <w:t>Beide Vertragspartner sind berechtigt, den Vertrag bei Vorliegen eines wichtigen Grundes ohne die Einhaltung von Fristen zu kündigen (außerordentliche Kündigung).</w:t>
      </w:r>
    </w:p>
    <w:p>
      <w:pPr>
        <w:autoSpaceDE w:val="0"/>
        <w:autoSpaceDN w:val="0"/>
        <w:adjustRightInd w:val="0"/>
        <w:rPr>
          <w:rFonts w:cs="Arial"/>
        </w:rPr>
      </w:pPr>
    </w:p>
    <w:p>
      <w:pPr>
        <w:autoSpaceDE w:val="0"/>
        <w:autoSpaceDN w:val="0"/>
        <w:adjustRightInd w:val="0"/>
        <w:rPr>
          <w:rFonts w:cs="Arial"/>
        </w:rPr>
      </w:pPr>
      <w:r>
        <w:rPr>
          <w:rFonts w:cs="Arial"/>
        </w:rPr>
        <w:t>Ein wichtiger Grund für den AG ist insbesondere gegeben,</w:t>
      </w:r>
    </w:p>
    <w:p>
      <w:pPr>
        <w:pStyle w:val="Listenabsatz"/>
        <w:numPr>
          <w:ilvl w:val="0"/>
          <w:numId w:val="12"/>
        </w:numPr>
        <w:autoSpaceDE w:val="0"/>
        <w:autoSpaceDN w:val="0"/>
        <w:adjustRightInd w:val="0"/>
        <w:rPr>
          <w:rFonts w:cs="Arial"/>
        </w:rPr>
      </w:pPr>
      <w:r>
        <w:rPr>
          <w:rFonts w:cs="Arial"/>
        </w:rPr>
        <w:t>wenn der Vertrag unter Verletzung gesetzlicher Vorschriften zustande gekommen ist,</w:t>
      </w:r>
    </w:p>
    <w:p>
      <w:pPr>
        <w:pStyle w:val="Listenabsatz"/>
        <w:numPr>
          <w:ilvl w:val="0"/>
          <w:numId w:val="12"/>
        </w:numPr>
        <w:autoSpaceDE w:val="0"/>
        <w:autoSpaceDN w:val="0"/>
        <w:adjustRightInd w:val="0"/>
        <w:rPr>
          <w:rFonts w:cs="Arial"/>
        </w:rPr>
      </w:pPr>
      <w:r>
        <w:rPr>
          <w:rFonts w:cs="Arial"/>
        </w:rPr>
        <w:t>bei mangelhafter Leistung bzw. wegen des Mangels der fachlich erforderlichen Kenntnisse einer Fachkraft für Arbeitssicherheit,</w:t>
      </w:r>
    </w:p>
    <w:p>
      <w:pPr>
        <w:pStyle w:val="Listenabsatz"/>
        <w:numPr>
          <w:ilvl w:val="0"/>
          <w:numId w:val="12"/>
        </w:numPr>
        <w:autoSpaceDE w:val="0"/>
        <w:autoSpaceDN w:val="0"/>
        <w:adjustRightInd w:val="0"/>
        <w:rPr>
          <w:rFonts w:cs="Arial"/>
        </w:rPr>
      </w:pPr>
      <w:r>
        <w:rPr>
          <w:rFonts w:cs="Arial"/>
        </w:rPr>
        <w:t>wenn der AN die Bestimmungen des Vertrages nicht nur geringfügig verletzt.</w:t>
      </w:r>
    </w:p>
    <w:p>
      <w:pPr>
        <w:autoSpaceDE w:val="0"/>
        <w:autoSpaceDN w:val="0"/>
        <w:adjustRightInd w:val="0"/>
        <w:rPr>
          <w:rFonts w:cs="Arial"/>
        </w:rPr>
      </w:pPr>
    </w:p>
    <w:p>
      <w:pPr>
        <w:autoSpaceDE w:val="0"/>
        <w:autoSpaceDN w:val="0"/>
        <w:adjustRightInd w:val="0"/>
        <w:rPr>
          <w:rFonts w:cs="Arial"/>
          <w:b/>
        </w:rPr>
      </w:pPr>
      <w:r>
        <w:rPr>
          <w:rFonts w:cs="Arial"/>
        </w:rPr>
        <w:t>Bei einer Kündigung mit sofortiger Wirkung ist der AG berechtigt, vom AN Ersatz des ihm hierdurch entstandenen Schadens zu verlangen</w:t>
      </w:r>
      <w:r>
        <w:rPr>
          <w:rFonts w:cs="Arial"/>
          <w:b/>
        </w:rPr>
        <w:t>.</w:t>
      </w:r>
    </w:p>
    <w:p>
      <w:pPr>
        <w:autoSpaceDE w:val="0"/>
        <w:autoSpaceDN w:val="0"/>
        <w:adjustRightInd w:val="0"/>
        <w:rPr>
          <w:rFonts w:cs="Arial"/>
          <w:b/>
          <w:bCs/>
          <w:u w:val="single"/>
        </w:rPr>
      </w:pPr>
    </w:p>
    <w:p>
      <w:pPr>
        <w:autoSpaceDE w:val="0"/>
        <w:autoSpaceDN w:val="0"/>
        <w:adjustRightInd w:val="0"/>
        <w:rPr>
          <w:rFonts w:cs="Arial"/>
          <w:b/>
          <w:bCs/>
          <w:u w:val="single"/>
        </w:rPr>
      </w:pPr>
    </w:p>
    <w:p>
      <w:pPr>
        <w:autoSpaceDE w:val="0"/>
        <w:autoSpaceDN w:val="0"/>
        <w:adjustRightInd w:val="0"/>
        <w:rPr>
          <w:rFonts w:cs="Arial"/>
          <w:b/>
          <w:bCs/>
          <w:u w:val="single"/>
        </w:rPr>
      </w:pPr>
      <w:r>
        <w:rPr>
          <w:rFonts w:cs="Arial"/>
          <w:b/>
          <w:bCs/>
          <w:u w:val="single"/>
        </w:rPr>
        <w:t xml:space="preserve">XI. Eignung des Bieters </w:t>
      </w:r>
    </w:p>
    <w:p>
      <w:pPr>
        <w:autoSpaceDE w:val="0"/>
        <w:autoSpaceDN w:val="0"/>
        <w:adjustRightInd w:val="0"/>
        <w:rPr>
          <w:rFonts w:cs="Arial"/>
          <w:b/>
          <w:bCs/>
        </w:rPr>
      </w:pPr>
    </w:p>
    <w:p>
      <w:pPr>
        <w:autoSpaceDE w:val="0"/>
        <w:autoSpaceDN w:val="0"/>
        <w:adjustRightInd w:val="0"/>
        <w:rPr>
          <w:rFonts w:cs="Arial"/>
          <w:bCs/>
        </w:rPr>
      </w:pPr>
      <w:r>
        <w:rPr>
          <w:rFonts w:cs="Arial"/>
          <w:bCs/>
        </w:rPr>
        <w:t xml:space="preserve">Bei den nachfolgenden Anforderungen handelt es sich um Eignungskriterien. Das bedeutet, dass der Auftrag nur an einen Bieter vergeben werden kann, der alle Kriterien voll erfüllt. </w:t>
      </w:r>
    </w:p>
    <w:p>
      <w:pPr>
        <w:autoSpaceDE w:val="0"/>
        <w:autoSpaceDN w:val="0"/>
        <w:adjustRightInd w:val="0"/>
        <w:rPr>
          <w:rFonts w:cs="Arial"/>
          <w:b/>
          <w:bCs/>
        </w:rPr>
      </w:pPr>
    </w:p>
    <w:p>
      <w:pPr>
        <w:autoSpaceDE w:val="0"/>
        <w:autoSpaceDN w:val="0"/>
        <w:adjustRightInd w:val="0"/>
        <w:rPr>
          <w:rFonts w:cs="Arial"/>
        </w:rPr>
      </w:pPr>
      <w:r>
        <w:rPr>
          <w:rFonts w:cs="Arial"/>
        </w:rPr>
        <w:t>Der AN darf nur solche Personen als Fachkraft für Arbeitssicherheit einsetzen, welche</w:t>
      </w:r>
    </w:p>
    <w:p>
      <w:pPr>
        <w:autoSpaceDE w:val="0"/>
        <w:autoSpaceDN w:val="0"/>
        <w:adjustRightInd w:val="0"/>
        <w:rPr>
          <w:rFonts w:cs="Arial"/>
        </w:rPr>
      </w:pPr>
    </w:p>
    <w:p>
      <w:pPr>
        <w:pStyle w:val="Listenabsatz"/>
        <w:numPr>
          <w:ilvl w:val="0"/>
          <w:numId w:val="15"/>
        </w:numPr>
        <w:autoSpaceDE w:val="0"/>
        <w:autoSpaceDN w:val="0"/>
        <w:adjustRightInd w:val="0"/>
        <w:ind w:left="360"/>
        <w:rPr>
          <w:rFonts w:cs="Arial"/>
        </w:rPr>
      </w:pPr>
      <w:r>
        <w:rPr>
          <w:rFonts w:cs="Arial"/>
        </w:rPr>
        <w:t xml:space="preserve">die berufliche Qualifikation nach § 7 ASiG in Verbindung mit § 4 der DGUV Vorschrift 2 erfüllen (entsprechende Nachweise sind mit dem Angebot vorzulegen), </w:t>
      </w:r>
    </w:p>
    <w:p>
      <w:pPr>
        <w:pStyle w:val="Listenabsatz"/>
        <w:numPr>
          <w:ilvl w:val="0"/>
          <w:numId w:val="15"/>
        </w:numPr>
        <w:autoSpaceDE w:val="0"/>
        <w:autoSpaceDN w:val="0"/>
        <w:adjustRightInd w:val="0"/>
        <w:ind w:left="360"/>
        <w:rPr>
          <w:rFonts w:cs="Arial"/>
        </w:rPr>
      </w:pPr>
      <w:r>
        <w:rPr>
          <w:rFonts w:cs="Arial"/>
        </w:rPr>
        <w:t>hinsichtlich der sicherheitstechnischen Betreuung hinreichend qualifiziert sind und sich regelmäßig sicherheitstechnisch fortgebildet haben (nachgewiesen durch Zertifikate über fortlaufend adäquate Fortbildungslehrgänge der letzten Jahre)</w:t>
      </w:r>
    </w:p>
    <w:p>
      <w:pPr>
        <w:pStyle w:val="Listenabsatz"/>
        <w:autoSpaceDE w:val="0"/>
        <w:autoSpaceDN w:val="0"/>
        <w:adjustRightInd w:val="0"/>
        <w:ind w:left="360"/>
        <w:rPr>
          <w:rFonts w:cs="Arial"/>
        </w:rPr>
      </w:pPr>
      <w:r>
        <w:rPr>
          <w:rFonts w:cs="Arial"/>
        </w:rPr>
        <w:t>und</w:t>
      </w:r>
    </w:p>
    <w:p>
      <w:pPr>
        <w:pStyle w:val="Listenabsatz"/>
        <w:numPr>
          <w:ilvl w:val="0"/>
          <w:numId w:val="14"/>
        </w:numPr>
        <w:autoSpaceDE w:val="0"/>
        <w:autoSpaceDN w:val="0"/>
        <w:adjustRightInd w:val="0"/>
        <w:rPr>
          <w:rFonts w:cs="Arial"/>
        </w:rPr>
      </w:pPr>
      <w:r>
        <w:rPr>
          <w:rFonts w:cs="Arial"/>
        </w:rPr>
        <w:t>eine mehrjährige Berufserfahrung als Fachkraft für Arbeitssicherheit haben (nachgewiesen durch eine tabellarische Übersicht).</w:t>
      </w:r>
    </w:p>
    <w:p>
      <w:pPr>
        <w:autoSpaceDE w:val="0"/>
        <w:autoSpaceDN w:val="0"/>
        <w:adjustRightInd w:val="0"/>
        <w:rPr>
          <w:rFonts w:cs="Arial"/>
        </w:rPr>
      </w:pPr>
    </w:p>
    <w:p>
      <w:pPr>
        <w:autoSpaceDE w:val="0"/>
        <w:autoSpaceDN w:val="0"/>
        <w:adjustRightInd w:val="0"/>
        <w:rPr>
          <w:rStyle w:val="gesetznormueberschrift"/>
        </w:rPr>
      </w:pPr>
      <w:r>
        <w:rPr>
          <w:rFonts w:cs="Arial"/>
        </w:rPr>
        <w:t xml:space="preserve">Entsprechende Nachweise sind mit dem Angebot vorzulegen. </w:t>
      </w:r>
      <w:r>
        <w:t xml:space="preserve">Erklärungen und Nachweise, die auf Anforderung der AG bis zum Ablauf der Angebotsfrist nicht vorgelegt wurden, können bis zum Ablauf einer zu bestimmenden Nachfrist nachgefordert werden (vgl. </w:t>
      </w:r>
      <w:r>
        <w:rPr>
          <w:rStyle w:val="evzaehlung"/>
        </w:rPr>
        <w:t xml:space="preserve">§ 41 </w:t>
      </w:r>
      <w:proofErr w:type="spellStart"/>
      <w:r>
        <w:rPr>
          <w:rStyle w:val="evzaehlung"/>
        </w:rPr>
        <w:t>UVgO</w:t>
      </w:r>
      <w:proofErr w:type="spellEnd"/>
      <w:r>
        <w:rPr>
          <w:rStyle w:val="gesetznormueberschrift"/>
        </w:rPr>
        <w:t>).</w:t>
      </w:r>
    </w:p>
    <w:p>
      <w:pPr>
        <w:autoSpaceDE w:val="0"/>
        <w:autoSpaceDN w:val="0"/>
        <w:adjustRightInd w:val="0"/>
        <w:rPr>
          <w:rFonts w:cs="Arial"/>
        </w:rPr>
      </w:pPr>
    </w:p>
    <w:p>
      <w:pPr>
        <w:autoSpaceDE w:val="0"/>
        <w:autoSpaceDN w:val="0"/>
        <w:adjustRightInd w:val="0"/>
        <w:rPr>
          <w:rFonts w:cs="Arial"/>
        </w:rPr>
      </w:pPr>
    </w:p>
    <w:p>
      <w:pPr>
        <w:autoSpaceDE w:val="0"/>
        <w:autoSpaceDN w:val="0"/>
        <w:adjustRightInd w:val="0"/>
        <w:rPr>
          <w:rFonts w:cs="Arial"/>
          <w:b/>
          <w:u w:val="single"/>
        </w:rPr>
      </w:pPr>
      <w:r>
        <w:rPr>
          <w:rFonts w:cs="Arial"/>
          <w:b/>
          <w:u w:val="single"/>
        </w:rPr>
        <w:t>XII. Weitere Anforderungskriterien an Qualifikation, Erfahrung  und Fachkunde</w:t>
      </w:r>
    </w:p>
    <w:p>
      <w:pPr>
        <w:autoSpaceDE w:val="0"/>
        <w:autoSpaceDN w:val="0"/>
        <w:adjustRightInd w:val="0"/>
        <w:rPr>
          <w:rFonts w:cs="Arial"/>
          <w:b/>
          <w:u w:val="single"/>
        </w:rPr>
      </w:pPr>
    </w:p>
    <w:p>
      <w:pPr>
        <w:autoSpaceDE w:val="0"/>
        <w:autoSpaceDN w:val="0"/>
        <w:adjustRightInd w:val="0"/>
        <w:rPr>
          <w:rFonts w:cs="Arial"/>
        </w:rPr>
      </w:pPr>
      <w:r>
        <w:rPr>
          <w:rFonts w:cs="Arial"/>
        </w:rPr>
        <w:t>Vom Bieter werden weiterhin folgende Anforderungskriterien erwartet, die im Konzept darzustellen und bei Bedarf durch Nachweise zu belegen sind:</w:t>
      </w:r>
    </w:p>
    <w:p>
      <w:pPr>
        <w:autoSpaceDE w:val="0"/>
        <w:autoSpaceDN w:val="0"/>
        <w:adjustRightInd w:val="0"/>
        <w:rPr>
          <w:rFonts w:cs="Arial"/>
        </w:rPr>
      </w:pPr>
    </w:p>
    <w:p>
      <w:pPr>
        <w:pStyle w:val="Listenabsatz"/>
        <w:numPr>
          <w:ilvl w:val="0"/>
          <w:numId w:val="13"/>
        </w:numPr>
        <w:autoSpaceDE w:val="0"/>
        <w:autoSpaceDN w:val="0"/>
        <w:adjustRightInd w:val="0"/>
        <w:ind w:left="360"/>
        <w:rPr>
          <w:rFonts w:cs="Arial"/>
        </w:rPr>
      </w:pPr>
      <w:r>
        <w:rPr>
          <w:rFonts w:cs="Arial"/>
        </w:rPr>
        <w:t>Fachlichkeit und Erfahrungen bei der sicherheitstechnischen Umsetzung von vergleichbaren Unternehmens- und Verwaltungsstrukturen (Bereich Büroarbeitsplätze)</w:t>
      </w:r>
    </w:p>
    <w:p>
      <w:pPr>
        <w:pStyle w:val="Listenabsatz"/>
        <w:autoSpaceDE w:val="0"/>
        <w:autoSpaceDN w:val="0"/>
        <w:adjustRightInd w:val="0"/>
        <w:ind w:left="360"/>
        <w:rPr>
          <w:rFonts w:cs="Arial"/>
        </w:rPr>
      </w:pPr>
    </w:p>
    <w:p>
      <w:pPr>
        <w:pStyle w:val="Listenabsatz"/>
        <w:numPr>
          <w:ilvl w:val="0"/>
          <w:numId w:val="13"/>
        </w:numPr>
        <w:autoSpaceDE w:val="0"/>
        <w:autoSpaceDN w:val="0"/>
        <w:adjustRightInd w:val="0"/>
        <w:ind w:left="360"/>
        <w:rPr>
          <w:rFonts w:cs="Arial"/>
        </w:rPr>
      </w:pPr>
      <w:r>
        <w:rPr>
          <w:rFonts w:cs="Arial"/>
        </w:rPr>
        <w:t>Fachlichkeit und Erfahrungen bei der sicherheitstechnischen Umsetzung innerhalb handwerklich-technischer Bereiche; beispielsweise Deponie, Straßenmeistereien</w:t>
      </w:r>
      <w:r>
        <w:rPr>
          <w:rFonts w:ascii="Calibri" w:hAnsi="Calibri"/>
          <w:bCs/>
        </w:rPr>
        <w:t xml:space="preserve"> </w:t>
      </w:r>
    </w:p>
    <w:p>
      <w:pPr>
        <w:autoSpaceDE w:val="0"/>
        <w:autoSpaceDN w:val="0"/>
        <w:adjustRightInd w:val="0"/>
        <w:rPr>
          <w:rFonts w:cs="Arial"/>
        </w:rPr>
      </w:pPr>
    </w:p>
    <w:p>
      <w:pPr>
        <w:autoSpaceDE w:val="0"/>
        <w:autoSpaceDN w:val="0"/>
        <w:adjustRightInd w:val="0"/>
        <w:rPr>
          <w:rFonts w:cs="Arial"/>
        </w:rPr>
      </w:pPr>
      <w:r>
        <w:rPr>
          <w:rFonts w:cs="Arial"/>
        </w:rPr>
        <w:t>Darüber hinaus sind Referenzen über die Wahrnehmung sicherheitstechnischer Betreuungen in Verwaltungs-/Dienstleistungsbereichen vergleichbarer Objekte anzugeben. Dazu sind nachfolgend fünf Referenzadressen – möglichst mit Ansprechpartner/in und Telefon-Nr. – von Einrichtungen unter Nutzung des Vordruck IV „Referenzliste“ aufzuführen, für die in den letzten drei Jahren vergleichbare sicherheitstechnische Leistungen erbracht wurden (Auf besondere Anforderung sind Referenzschreiben vorzulegen). Das Vorliegen vollumfassender Kenntnisse in der deutschen Sprache wird beim AN sowie von der eingesetzten Fachkraft für Arbeitssicherheit vorausgesetzt.</w:t>
      </w:r>
    </w:p>
    <w:p>
      <w:pPr>
        <w:autoSpaceDE w:val="0"/>
        <w:autoSpaceDN w:val="0"/>
        <w:adjustRightInd w:val="0"/>
        <w:rPr>
          <w:rFonts w:cs="Arial"/>
        </w:rPr>
      </w:pPr>
    </w:p>
    <w:p>
      <w:pPr>
        <w:autoSpaceDE w:val="0"/>
        <w:autoSpaceDN w:val="0"/>
        <w:adjustRightInd w:val="0"/>
        <w:rPr>
          <w:rFonts w:cs="Arial"/>
        </w:rPr>
      </w:pPr>
    </w:p>
    <w:p>
      <w:pPr>
        <w:autoSpaceDE w:val="0"/>
        <w:autoSpaceDN w:val="0"/>
        <w:adjustRightInd w:val="0"/>
        <w:rPr>
          <w:rFonts w:cs="Arial"/>
          <w:color w:val="FF0000"/>
        </w:rPr>
      </w:pPr>
    </w:p>
    <w:p>
      <w:pPr>
        <w:autoSpaceDE w:val="0"/>
        <w:autoSpaceDN w:val="0"/>
        <w:adjustRightInd w:val="0"/>
        <w:rPr>
          <w:rFonts w:cs="Arial"/>
          <w:b/>
          <w:bCs/>
          <w:u w:val="single"/>
        </w:rPr>
      </w:pPr>
    </w:p>
    <w:p>
      <w:pPr>
        <w:autoSpaceDE w:val="0"/>
        <w:autoSpaceDN w:val="0"/>
        <w:adjustRightInd w:val="0"/>
        <w:rPr>
          <w:rFonts w:cs="Arial"/>
          <w:b/>
          <w:bCs/>
          <w:u w:val="single"/>
        </w:rPr>
      </w:pPr>
      <w:r>
        <w:rPr>
          <w:rFonts w:cs="Arial"/>
          <w:b/>
          <w:bCs/>
          <w:u w:val="single"/>
        </w:rPr>
        <w:t>XIII. Übertragung von Leistungen an Subunternehmen</w:t>
      </w:r>
    </w:p>
    <w:p>
      <w:pPr>
        <w:autoSpaceDE w:val="0"/>
        <w:autoSpaceDN w:val="0"/>
        <w:adjustRightInd w:val="0"/>
        <w:rPr>
          <w:rFonts w:cs="Arial"/>
          <w:b/>
          <w:bCs/>
        </w:rPr>
      </w:pPr>
    </w:p>
    <w:p>
      <w:pPr>
        <w:autoSpaceDE w:val="0"/>
        <w:autoSpaceDN w:val="0"/>
        <w:adjustRightInd w:val="0"/>
        <w:rPr>
          <w:rFonts w:cs="Arial"/>
        </w:rPr>
      </w:pPr>
      <w:r>
        <w:rPr>
          <w:rFonts w:cs="Arial"/>
        </w:rPr>
        <w:t>Die Übertragung des Auftrags an Subunternehmer ist nicht zulässig.</w:t>
      </w:r>
    </w:p>
    <w:p>
      <w:pPr>
        <w:autoSpaceDE w:val="0"/>
        <w:autoSpaceDN w:val="0"/>
        <w:adjustRightInd w:val="0"/>
        <w:rPr>
          <w:rFonts w:cs="Arial"/>
        </w:rPr>
      </w:pPr>
    </w:p>
    <w:p>
      <w:pPr>
        <w:autoSpaceDE w:val="0"/>
        <w:autoSpaceDN w:val="0"/>
        <w:adjustRightInd w:val="0"/>
        <w:rPr>
          <w:rFonts w:cs="Arial"/>
          <w:b/>
          <w:bCs/>
        </w:rPr>
      </w:pPr>
    </w:p>
    <w:p>
      <w:pPr>
        <w:autoSpaceDE w:val="0"/>
        <w:autoSpaceDN w:val="0"/>
        <w:adjustRightInd w:val="0"/>
        <w:rPr>
          <w:rFonts w:cs="Arial"/>
          <w:b/>
          <w:bCs/>
          <w:u w:val="single"/>
        </w:rPr>
      </w:pPr>
      <w:r>
        <w:rPr>
          <w:rFonts w:cs="Arial"/>
          <w:b/>
          <w:bCs/>
          <w:u w:val="single"/>
        </w:rPr>
        <w:t>XIV. Haftung/Haftpflichtversicherung</w:t>
      </w:r>
    </w:p>
    <w:p>
      <w:pPr>
        <w:autoSpaceDE w:val="0"/>
        <w:autoSpaceDN w:val="0"/>
        <w:adjustRightInd w:val="0"/>
        <w:rPr>
          <w:rFonts w:cs="Arial"/>
        </w:rPr>
      </w:pPr>
    </w:p>
    <w:p>
      <w:pPr>
        <w:autoSpaceDE w:val="0"/>
        <w:autoSpaceDN w:val="0"/>
        <w:adjustRightInd w:val="0"/>
        <w:rPr>
          <w:rFonts w:cs="Arial"/>
        </w:rPr>
      </w:pPr>
      <w:r>
        <w:rPr>
          <w:rFonts w:cs="Arial"/>
        </w:rPr>
        <w:t>Der AN haftet für alle Schäden, die durch ihn bzw. sein eingesetztes Personal im Zusammenhang mit der Ausführung der Leistung verursacht werden bzw. zu vertreten sind.</w:t>
      </w:r>
    </w:p>
    <w:p>
      <w:pPr>
        <w:autoSpaceDE w:val="0"/>
        <w:autoSpaceDN w:val="0"/>
        <w:adjustRightInd w:val="0"/>
        <w:rPr>
          <w:rFonts w:cs="Arial"/>
        </w:rPr>
      </w:pPr>
      <w:r>
        <w:rPr>
          <w:rFonts w:cs="Arial"/>
        </w:rPr>
        <w:t xml:space="preserve">Der AN versichert, eine Haftpflichtversicherung in der nachstehend angegebenen Höhe zu unterhalten bzw. im Fall der Zuschlagserteilung eine solche ab Vertragsbeginn abzuschließen und mindestens bis zum Ende sämtlicher Beziehungen aus diesem Vertrag aufrecht zu erhalten. </w:t>
      </w:r>
    </w:p>
    <w:p>
      <w:pPr>
        <w:autoSpaceDE w:val="0"/>
        <w:autoSpaceDN w:val="0"/>
        <w:adjustRightInd w:val="0"/>
        <w:rPr>
          <w:rFonts w:cs="Arial"/>
        </w:rPr>
      </w:pPr>
    </w:p>
    <w:p>
      <w:pPr>
        <w:autoSpaceDE w:val="0"/>
        <w:autoSpaceDN w:val="0"/>
        <w:adjustRightInd w:val="0"/>
        <w:rPr>
          <w:rFonts w:cs="Arial"/>
        </w:rPr>
      </w:pPr>
      <w:r>
        <w:rPr>
          <w:rFonts w:cs="Arial"/>
        </w:rPr>
        <w:t>Mit Abgabe des Angebotes erklärt sich der Bieter bereit, im Falle einer Auftragserteilung eine Haftpflichtversicherung  für Personenschäden von mindestens bis zu einer Deckungssumme von 5.000.000,- € und für sonstige Schäden von mindestens bis zu einer Deckungssumme von 250.000,- € vorzuhalten.</w:t>
      </w:r>
    </w:p>
    <w:p>
      <w:pPr>
        <w:autoSpaceDE w:val="0"/>
        <w:autoSpaceDN w:val="0"/>
        <w:adjustRightInd w:val="0"/>
        <w:rPr>
          <w:rFonts w:cs="Arial"/>
        </w:rPr>
      </w:pPr>
    </w:p>
    <w:p>
      <w:pPr>
        <w:autoSpaceDE w:val="0"/>
        <w:autoSpaceDN w:val="0"/>
        <w:adjustRightInd w:val="0"/>
        <w:rPr>
          <w:rFonts w:cs="Arial"/>
        </w:rPr>
      </w:pPr>
      <w:r>
        <w:rPr>
          <w:rFonts w:cs="Arial"/>
        </w:rPr>
        <w:t>Auf Verlangen wird die Versicherungspolice dem AG vorgelegt.</w:t>
      </w:r>
    </w:p>
    <w:p>
      <w:pPr>
        <w:autoSpaceDE w:val="0"/>
        <w:autoSpaceDN w:val="0"/>
        <w:adjustRightInd w:val="0"/>
        <w:rPr>
          <w:rFonts w:cs="Arial"/>
        </w:rPr>
      </w:pPr>
    </w:p>
    <w:p>
      <w:pPr>
        <w:autoSpaceDE w:val="0"/>
        <w:autoSpaceDN w:val="0"/>
        <w:adjustRightInd w:val="0"/>
        <w:rPr>
          <w:rFonts w:cs="Arial"/>
        </w:rPr>
      </w:pPr>
    </w:p>
    <w:p>
      <w:pPr>
        <w:autoSpaceDE w:val="0"/>
        <w:autoSpaceDN w:val="0"/>
        <w:adjustRightInd w:val="0"/>
        <w:rPr>
          <w:rFonts w:cs="Arial"/>
          <w:b/>
          <w:bCs/>
          <w:u w:val="single"/>
        </w:rPr>
      </w:pPr>
      <w:r>
        <w:rPr>
          <w:rFonts w:cs="Arial"/>
          <w:b/>
          <w:bCs/>
          <w:u w:val="single"/>
        </w:rPr>
        <w:t>XV. Zuschlagskriterien</w:t>
      </w:r>
    </w:p>
    <w:p>
      <w:pPr>
        <w:autoSpaceDE w:val="0"/>
        <w:autoSpaceDN w:val="0"/>
        <w:adjustRightInd w:val="0"/>
        <w:rPr>
          <w:rFonts w:cs="Arial"/>
          <w:sz w:val="16"/>
          <w:szCs w:val="16"/>
        </w:rPr>
      </w:pPr>
    </w:p>
    <w:p>
      <w:pPr>
        <w:pStyle w:val="Listenabsatz"/>
        <w:numPr>
          <w:ilvl w:val="0"/>
          <w:numId w:val="17"/>
        </w:numPr>
        <w:autoSpaceDE w:val="0"/>
        <w:autoSpaceDN w:val="0"/>
        <w:adjustRightInd w:val="0"/>
        <w:rPr>
          <w:rFonts w:ascii="Calibri" w:hAnsi="Calibri" w:cs="Calibri"/>
        </w:rPr>
      </w:pPr>
      <w:r>
        <w:rPr>
          <w:rFonts w:cs="Arial"/>
          <w:u w:val="single"/>
        </w:rPr>
        <w:t xml:space="preserve">Angebotspreis (50 %, </w:t>
      </w:r>
      <w:r>
        <w:rPr>
          <w:b/>
          <w:u w:val="single"/>
        </w:rPr>
        <w:t>entspricht max. 102 Punkte)</w:t>
      </w:r>
    </w:p>
    <w:p>
      <w:pPr>
        <w:pStyle w:val="Listenabsatz"/>
        <w:autoSpaceDE w:val="0"/>
        <w:autoSpaceDN w:val="0"/>
        <w:adjustRightInd w:val="0"/>
        <w:ind w:left="360"/>
        <w:rPr>
          <w:rFonts w:ascii="Calibri" w:hAnsi="Calibri" w:cs="Calibri"/>
          <w:sz w:val="16"/>
          <w:szCs w:val="16"/>
        </w:rPr>
      </w:pPr>
    </w:p>
    <w:p>
      <w:pPr>
        <w:autoSpaceDE w:val="0"/>
        <w:autoSpaceDN w:val="0"/>
        <w:adjustRightInd w:val="0"/>
        <w:rPr>
          <w:rFonts w:ascii="Calibri" w:hAnsi="Calibri" w:cs="Calibri"/>
        </w:rPr>
      </w:pPr>
      <w:r>
        <w:rPr>
          <w:rFonts w:ascii="Calibri" w:hAnsi="Calibri" w:cs="Calibri"/>
        </w:rPr>
        <w:t xml:space="preserve">Die Abrechnung erfolgt nach Vergütung je Einsatzstunde. Für die Bewertung des Angebotspreises ist daher die </w:t>
      </w:r>
      <w:r>
        <w:rPr>
          <w:rFonts w:ascii="Calibri" w:hAnsi="Calibri" w:cs="Calibri"/>
          <w:b/>
        </w:rPr>
        <w:t>Vergütung je Einsatzstunde</w:t>
      </w:r>
      <w:r>
        <w:rPr>
          <w:rFonts w:ascii="Calibri" w:hAnsi="Calibri" w:cs="Calibri"/>
        </w:rPr>
        <w:t xml:space="preserve"> ausschlaggebend. Insgesamt können 102 Punkte erreicht werden. </w:t>
      </w:r>
    </w:p>
    <w:p>
      <w:pPr>
        <w:pStyle w:val="Textkrper"/>
        <w:rPr>
          <w:rFonts w:ascii="Calibri" w:hAnsi="Calibri" w:cs="Calibri"/>
          <w:sz w:val="22"/>
          <w:szCs w:val="22"/>
        </w:rPr>
      </w:pPr>
      <w:r>
        <w:rPr>
          <w:rFonts w:ascii="Calibri" w:hAnsi="Calibri" w:cs="Calibri"/>
          <w:sz w:val="22"/>
          <w:szCs w:val="22"/>
        </w:rPr>
        <w:t>Der jeweils günstigste Anbieter kann dementsprechend max. 102 Punkte für den Preis bekommen. Die übrigen Bieter bekommen anteilige Punkte entsprechend ihrem Preisverhältnis zum günstigsten Anbieter. Es wird auf zwei Nachkommastellen gerundet.</w:t>
      </w:r>
    </w:p>
    <w:p>
      <w:pPr>
        <w:pStyle w:val="Textkrper"/>
        <w:rPr>
          <w:rFonts w:ascii="Calibri" w:hAnsi="Calibri" w:cs="Calibri"/>
          <w:sz w:val="22"/>
          <w:szCs w:val="22"/>
        </w:rPr>
      </w:pPr>
      <w:r>
        <w:rPr>
          <w:rFonts w:ascii="Calibri" w:hAnsi="Calibri" w:cs="Calibri"/>
          <w:sz w:val="22"/>
          <w:szCs w:val="22"/>
        </w:rPr>
        <w:t xml:space="preserve">Beispielberechnung: </w:t>
      </w:r>
      <w:r>
        <w:rPr>
          <w:rFonts w:ascii="Calibri" w:hAnsi="Calibri" w:cs="Calibri"/>
          <w:sz w:val="22"/>
          <w:szCs w:val="22"/>
        </w:rPr>
        <w:tab/>
        <w:t>Angebot Bieter 1 = 200 € Festpreis/Einsatzstunde</w:t>
      </w:r>
      <w:r>
        <w:rPr>
          <w:rFonts w:ascii="Calibri" w:hAnsi="Calibri" w:cs="Calibri"/>
          <w:sz w:val="22"/>
          <w:szCs w:val="22"/>
        </w:rPr>
        <w:tab/>
        <w:t>=    63,75 Punkte</w:t>
      </w:r>
    </w:p>
    <w:p>
      <w:pPr>
        <w:pStyle w:val="Textkrper"/>
        <w:ind w:left="360"/>
        <w:rPr>
          <w:rFonts w:ascii="Calibri" w:hAnsi="Calibri" w:cs="Calibri"/>
          <w:sz w:val="22"/>
          <w:szCs w:val="22"/>
        </w:rPr>
      </w:pPr>
      <w:r>
        <w:rPr>
          <w:rFonts w:ascii="Calibri" w:hAnsi="Calibri" w:cs="Calibri"/>
          <w:sz w:val="22"/>
          <w:szCs w:val="22"/>
        </w:rPr>
        <w:tab/>
      </w:r>
      <w:r>
        <w:rPr>
          <w:rFonts w:ascii="Calibri" w:hAnsi="Calibri" w:cs="Calibri"/>
          <w:sz w:val="22"/>
          <w:szCs w:val="22"/>
        </w:rPr>
        <w:tab/>
      </w:r>
      <w:r>
        <w:rPr>
          <w:rFonts w:ascii="Calibri" w:hAnsi="Calibri" w:cs="Calibri"/>
          <w:sz w:val="22"/>
          <w:szCs w:val="22"/>
        </w:rPr>
        <w:tab/>
        <w:t>Angebot Bieter 2 = 125 € Festpreis/Einsatzstunde</w:t>
      </w:r>
      <w:r>
        <w:rPr>
          <w:rFonts w:ascii="Calibri" w:hAnsi="Calibri" w:cs="Calibri"/>
          <w:sz w:val="22"/>
          <w:szCs w:val="22"/>
        </w:rPr>
        <w:tab/>
        <w:t>=  102,00 Punkte</w:t>
      </w:r>
    </w:p>
    <w:p>
      <w:pPr>
        <w:pStyle w:val="Textkrper"/>
        <w:rPr>
          <w:rFonts w:ascii="Calibri" w:hAnsi="Calibri" w:cs="Calibri"/>
          <w:sz w:val="22"/>
          <w:szCs w:val="22"/>
        </w:rPr>
      </w:pPr>
      <w:r>
        <w:rPr>
          <w:rFonts w:ascii="Calibri" w:hAnsi="Calibri" w:cs="Calibri"/>
          <w:sz w:val="22"/>
          <w:szCs w:val="22"/>
        </w:rPr>
        <w:t>Berechnung für Bieter 1:</w:t>
      </w:r>
      <w:r>
        <w:rPr>
          <w:rFonts w:ascii="Calibri" w:hAnsi="Calibri" w:cs="Calibri"/>
          <w:sz w:val="22"/>
          <w:szCs w:val="22"/>
        </w:rPr>
        <w:tab/>
      </w:r>
      <w:r>
        <w:rPr>
          <w:rFonts w:ascii="Calibri" w:hAnsi="Calibri" w:cs="Calibri"/>
          <w:sz w:val="22"/>
          <w:szCs w:val="22"/>
        </w:rPr>
        <w:tab/>
        <w:t>200:125=1,6</w:t>
      </w:r>
      <w:r>
        <w:rPr>
          <w:rFonts w:ascii="Calibri" w:hAnsi="Calibri" w:cs="Calibri"/>
          <w:sz w:val="22"/>
          <w:szCs w:val="22"/>
        </w:rPr>
        <w:tab/>
        <w:t>102:1,6 = 67,50 Punkte</w:t>
      </w:r>
    </w:p>
    <w:p>
      <w:pPr>
        <w:pStyle w:val="Textkrper"/>
        <w:ind w:left="360"/>
        <w:rPr>
          <w:rFonts w:ascii="Calibri" w:hAnsi="Calibri" w:cs="Calibri"/>
          <w:sz w:val="16"/>
          <w:szCs w:val="16"/>
        </w:rPr>
      </w:pPr>
    </w:p>
    <w:p>
      <w:pPr>
        <w:pStyle w:val="Textkrper"/>
        <w:rPr>
          <w:rFonts w:ascii="Calibri" w:hAnsi="Calibri" w:cs="Calibri"/>
          <w:sz w:val="22"/>
          <w:szCs w:val="22"/>
        </w:rPr>
      </w:pPr>
      <w:r>
        <w:rPr>
          <w:rFonts w:ascii="Calibri" w:hAnsi="Calibri" w:cs="Calibri"/>
          <w:sz w:val="22"/>
          <w:szCs w:val="22"/>
        </w:rPr>
        <w:t>Hinweis: Die Beispielpreise sind fiktiv und stehen in keinem Kontext zur Ausschreibung.</w:t>
      </w:r>
    </w:p>
    <w:p>
      <w:pPr>
        <w:pStyle w:val="Listenabsatz"/>
        <w:autoSpaceDE w:val="0"/>
        <w:autoSpaceDN w:val="0"/>
        <w:adjustRightInd w:val="0"/>
        <w:ind w:left="360"/>
        <w:rPr>
          <w:rFonts w:cs="Arial"/>
          <w:color w:val="FF0000"/>
        </w:rPr>
      </w:pPr>
    </w:p>
    <w:p>
      <w:pPr>
        <w:pStyle w:val="Listenabsatz"/>
        <w:numPr>
          <w:ilvl w:val="0"/>
          <w:numId w:val="17"/>
        </w:numPr>
        <w:autoSpaceDE w:val="0"/>
        <w:autoSpaceDN w:val="0"/>
        <w:adjustRightInd w:val="0"/>
        <w:rPr>
          <w:rFonts w:cs="Arial"/>
          <w:u w:val="single"/>
        </w:rPr>
      </w:pPr>
      <w:r>
        <w:rPr>
          <w:rFonts w:cs="Arial"/>
          <w:u w:val="single"/>
        </w:rPr>
        <w:t xml:space="preserve">Inhaltliche Angebotsbewertung (50 %, </w:t>
      </w:r>
      <w:r>
        <w:rPr>
          <w:b/>
          <w:u w:val="single"/>
        </w:rPr>
        <w:t xml:space="preserve">entspricht max. 102Punkte) </w:t>
      </w:r>
    </w:p>
    <w:p>
      <w:pPr>
        <w:pStyle w:val="Listenabsatz"/>
        <w:autoSpaceDE w:val="0"/>
        <w:autoSpaceDN w:val="0"/>
        <w:adjustRightInd w:val="0"/>
        <w:ind w:left="360"/>
        <w:rPr>
          <w:rFonts w:cs="Arial"/>
          <w:sz w:val="16"/>
          <w:szCs w:val="16"/>
          <w:u w:val="single"/>
        </w:rPr>
      </w:pPr>
    </w:p>
    <w:p>
      <w:pPr>
        <w:jc w:val="both"/>
        <w:rPr>
          <w:rFonts w:ascii="Calibri" w:hAnsi="Calibri" w:cs="Calibri"/>
        </w:rPr>
      </w:pPr>
      <w:r>
        <w:rPr>
          <w:rFonts w:ascii="Calibri" w:hAnsi="Calibri" w:cs="Calibri"/>
        </w:rPr>
        <w:t>Die Angebote werden auf der jeweils vorgegebenen Beurteilungsskala eingestuft. Es wird eine 7</w:t>
      </w:r>
      <w:r>
        <w:rPr>
          <w:rFonts w:ascii="Calibri" w:hAnsi="Calibri" w:cs="Calibri"/>
        </w:rPr>
        <w:noBreakHyphen/>
        <w:t>stufige Skala zugrunde gelegt. Die sieben Stufen kennzeichnen den Grad der Erfüllung der Bewertungskriterien gemessen an den eingereichten Unterlagen. Im Einzelnen bedeuten die 7 Stufen der Skala:</w:t>
      </w:r>
    </w:p>
    <w:p>
      <w:pPr>
        <w:jc w:val="both"/>
        <w:rPr>
          <w:rFonts w:ascii="Calibri" w:hAnsi="Calibri" w:cs="Calibri"/>
          <w:sz w:val="16"/>
          <w:szCs w:val="16"/>
        </w:rPr>
      </w:pPr>
    </w:p>
    <w:tbl>
      <w:tblPr>
        <w:tblW w:w="8505" w:type="dxa"/>
        <w:tblInd w:w="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1843"/>
        <w:gridCol w:w="992"/>
        <w:gridCol w:w="1134"/>
        <w:gridCol w:w="993"/>
        <w:gridCol w:w="850"/>
        <w:gridCol w:w="851"/>
        <w:gridCol w:w="850"/>
        <w:gridCol w:w="992"/>
      </w:tblGrid>
      <w:tr>
        <w:tc>
          <w:tcPr>
            <w:tcW w:w="1843" w:type="dxa"/>
            <w:tcBorders>
              <w:top w:val="single" w:sz="6" w:space="0" w:color="auto"/>
              <w:left w:val="single" w:sz="6" w:space="0" w:color="auto"/>
              <w:bottom w:val="single" w:sz="6" w:space="0" w:color="auto"/>
              <w:right w:val="single" w:sz="6" w:space="0" w:color="auto"/>
            </w:tcBorders>
            <w:hideMark/>
          </w:tcPr>
          <w:p>
            <w:pPr>
              <w:jc w:val="both"/>
              <w:rPr>
                <w:rFonts w:ascii="Calibri" w:hAnsi="Calibri"/>
              </w:rPr>
            </w:pPr>
            <w:r>
              <w:rPr>
                <w:rFonts w:ascii="Calibri" w:hAnsi="Calibri"/>
              </w:rPr>
              <w:t>Stufe</w:t>
            </w:r>
          </w:p>
        </w:tc>
        <w:tc>
          <w:tcPr>
            <w:tcW w:w="992" w:type="dxa"/>
            <w:tcBorders>
              <w:top w:val="single" w:sz="6" w:space="0" w:color="auto"/>
              <w:left w:val="single" w:sz="6" w:space="0" w:color="auto"/>
              <w:bottom w:val="single" w:sz="6" w:space="0" w:color="auto"/>
              <w:right w:val="single" w:sz="6" w:space="0" w:color="auto"/>
            </w:tcBorders>
          </w:tcPr>
          <w:p>
            <w:pPr>
              <w:jc w:val="center"/>
              <w:rPr>
                <w:rFonts w:ascii="Calibri" w:hAnsi="Calibri"/>
              </w:rPr>
            </w:pPr>
            <w:r>
              <w:rPr>
                <w:rFonts w:ascii="Calibri" w:hAnsi="Calibri"/>
              </w:rPr>
              <w:t>6</w:t>
            </w:r>
          </w:p>
        </w:tc>
        <w:tc>
          <w:tcPr>
            <w:tcW w:w="1134" w:type="dxa"/>
            <w:tcBorders>
              <w:top w:val="single" w:sz="6" w:space="0" w:color="auto"/>
              <w:left w:val="single" w:sz="6" w:space="0" w:color="auto"/>
              <w:bottom w:val="single" w:sz="6" w:space="0" w:color="auto"/>
              <w:right w:val="single" w:sz="6" w:space="0" w:color="auto"/>
            </w:tcBorders>
            <w:hideMark/>
          </w:tcPr>
          <w:p>
            <w:pPr>
              <w:jc w:val="center"/>
              <w:rPr>
                <w:rFonts w:ascii="Calibri" w:hAnsi="Calibri"/>
              </w:rPr>
            </w:pPr>
            <w:r>
              <w:rPr>
                <w:rFonts w:ascii="Calibri" w:hAnsi="Calibri"/>
              </w:rPr>
              <w:t>5</w:t>
            </w:r>
          </w:p>
        </w:tc>
        <w:tc>
          <w:tcPr>
            <w:tcW w:w="993" w:type="dxa"/>
            <w:tcBorders>
              <w:top w:val="single" w:sz="6" w:space="0" w:color="auto"/>
              <w:left w:val="single" w:sz="6" w:space="0" w:color="auto"/>
              <w:bottom w:val="single" w:sz="6" w:space="0" w:color="auto"/>
              <w:right w:val="single" w:sz="6" w:space="0" w:color="auto"/>
            </w:tcBorders>
            <w:hideMark/>
          </w:tcPr>
          <w:p>
            <w:pPr>
              <w:jc w:val="center"/>
              <w:rPr>
                <w:rFonts w:ascii="Calibri" w:hAnsi="Calibri"/>
              </w:rPr>
            </w:pPr>
            <w:r>
              <w:rPr>
                <w:rFonts w:ascii="Calibri" w:hAnsi="Calibri"/>
              </w:rPr>
              <w:t>4</w:t>
            </w:r>
          </w:p>
        </w:tc>
        <w:tc>
          <w:tcPr>
            <w:tcW w:w="850" w:type="dxa"/>
            <w:tcBorders>
              <w:top w:val="single" w:sz="6" w:space="0" w:color="auto"/>
              <w:left w:val="single" w:sz="6" w:space="0" w:color="auto"/>
              <w:bottom w:val="single" w:sz="6" w:space="0" w:color="auto"/>
              <w:right w:val="single" w:sz="6" w:space="0" w:color="auto"/>
            </w:tcBorders>
            <w:hideMark/>
          </w:tcPr>
          <w:p>
            <w:pPr>
              <w:jc w:val="center"/>
              <w:rPr>
                <w:rFonts w:ascii="Calibri" w:hAnsi="Calibri"/>
              </w:rPr>
            </w:pPr>
            <w:r>
              <w:rPr>
                <w:rFonts w:ascii="Calibri" w:hAnsi="Calibri"/>
              </w:rPr>
              <w:t>3</w:t>
            </w:r>
          </w:p>
        </w:tc>
        <w:tc>
          <w:tcPr>
            <w:tcW w:w="851" w:type="dxa"/>
            <w:tcBorders>
              <w:top w:val="single" w:sz="6" w:space="0" w:color="auto"/>
              <w:left w:val="single" w:sz="6" w:space="0" w:color="auto"/>
              <w:bottom w:val="single" w:sz="6" w:space="0" w:color="auto"/>
              <w:right w:val="single" w:sz="6" w:space="0" w:color="auto"/>
            </w:tcBorders>
            <w:hideMark/>
          </w:tcPr>
          <w:p>
            <w:pPr>
              <w:jc w:val="center"/>
              <w:rPr>
                <w:rFonts w:ascii="Calibri" w:hAnsi="Calibri"/>
              </w:rPr>
            </w:pPr>
            <w:r>
              <w:rPr>
                <w:rFonts w:ascii="Calibri" w:hAnsi="Calibri"/>
              </w:rPr>
              <w:t>2</w:t>
            </w:r>
          </w:p>
        </w:tc>
        <w:tc>
          <w:tcPr>
            <w:tcW w:w="850" w:type="dxa"/>
            <w:tcBorders>
              <w:top w:val="single" w:sz="6" w:space="0" w:color="auto"/>
              <w:left w:val="single" w:sz="6" w:space="0" w:color="auto"/>
              <w:bottom w:val="single" w:sz="6" w:space="0" w:color="auto"/>
              <w:right w:val="single" w:sz="6" w:space="0" w:color="auto"/>
            </w:tcBorders>
            <w:hideMark/>
          </w:tcPr>
          <w:p>
            <w:pPr>
              <w:jc w:val="center"/>
              <w:rPr>
                <w:rFonts w:ascii="Calibri" w:hAnsi="Calibri"/>
              </w:rPr>
            </w:pPr>
            <w:r>
              <w:rPr>
                <w:rFonts w:ascii="Calibri" w:hAnsi="Calibri"/>
              </w:rPr>
              <w:t>1</w:t>
            </w:r>
          </w:p>
        </w:tc>
        <w:tc>
          <w:tcPr>
            <w:tcW w:w="992" w:type="dxa"/>
            <w:tcBorders>
              <w:top w:val="single" w:sz="6" w:space="0" w:color="auto"/>
              <w:left w:val="single" w:sz="6" w:space="0" w:color="auto"/>
              <w:bottom w:val="single" w:sz="6" w:space="0" w:color="auto"/>
              <w:right w:val="single" w:sz="6" w:space="0" w:color="auto"/>
            </w:tcBorders>
            <w:hideMark/>
          </w:tcPr>
          <w:p>
            <w:pPr>
              <w:jc w:val="center"/>
              <w:rPr>
                <w:rFonts w:ascii="Calibri" w:hAnsi="Calibri"/>
              </w:rPr>
            </w:pPr>
            <w:r>
              <w:rPr>
                <w:rFonts w:ascii="Calibri" w:hAnsi="Calibri"/>
              </w:rPr>
              <w:t>0</w:t>
            </w:r>
          </w:p>
        </w:tc>
      </w:tr>
      <w:tr>
        <w:tc>
          <w:tcPr>
            <w:tcW w:w="1843" w:type="dxa"/>
            <w:tcBorders>
              <w:top w:val="single" w:sz="6" w:space="0" w:color="auto"/>
              <w:left w:val="single" w:sz="6" w:space="0" w:color="auto"/>
              <w:bottom w:val="single" w:sz="6" w:space="0" w:color="auto"/>
              <w:right w:val="single" w:sz="6" w:space="0" w:color="auto"/>
            </w:tcBorders>
            <w:hideMark/>
          </w:tcPr>
          <w:p>
            <w:pPr>
              <w:jc w:val="both"/>
              <w:rPr>
                <w:rFonts w:ascii="Calibri" w:hAnsi="Calibri"/>
                <w:sz w:val="20"/>
                <w:szCs w:val="20"/>
              </w:rPr>
            </w:pPr>
            <w:r>
              <w:rPr>
                <w:rFonts w:ascii="Calibri" w:hAnsi="Calibri"/>
                <w:sz w:val="20"/>
                <w:szCs w:val="20"/>
              </w:rPr>
              <w:t>Kriterium erfüllt zu:</w:t>
            </w:r>
          </w:p>
        </w:tc>
        <w:tc>
          <w:tcPr>
            <w:tcW w:w="992" w:type="dxa"/>
            <w:tcBorders>
              <w:top w:val="single" w:sz="6" w:space="0" w:color="auto"/>
              <w:left w:val="single" w:sz="6" w:space="0" w:color="auto"/>
              <w:bottom w:val="single" w:sz="6" w:space="0" w:color="auto"/>
              <w:right w:val="single" w:sz="6" w:space="0" w:color="auto"/>
            </w:tcBorders>
          </w:tcPr>
          <w:p>
            <w:pPr>
              <w:jc w:val="center"/>
              <w:rPr>
                <w:rFonts w:ascii="Calibri" w:hAnsi="Calibri"/>
                <w:sz w:val="20"/>
                <w:szCs w:val="20"/>
              </w:rPr>
            </w:pPr>
            <w:r>
              <w:rPr>
                <w:rFonts w:ascii="Calibri" w:hAnsi="Calibri"/>
                <w:sz w:val="20"/>
                <w:szCs w:val="20"/>
              </w:rPr>
              <w:t>100-92%</w:t>
            </w:r>
          </w:p>
        </w:tc>
        <w:tc>
          <w:tcPr>
            <w:tcW w:w="1134" w:type="dxa"/>
            <w:tcBorders>
              <w:top w:val="single" w:sz="6" w:space="0" w:color="auto"/>
              <w:left w:val="single" w:sz="6" w:space="0" w:color="auto"/>
              <w:bottom w:val="single" w:sz="6" w:space="0" w:color="auto"/>
              <w:right w:val="single" w:sz="6" w:space="0" w:color="auto"/>
            </w:tcBorders>
          </w:tcPr>
          <w:p>
            <w:pPr>
              <w:jc w:val="center"/>
              <w:rPr>
                <w:rFonts w:ascii="Calibri" w:hAnsi="Calibri"/>
                <w:sz w:val="20"/>
                <w:szCs w:val="20"/>
              </w:rPr>
            </w:pPr>
            <w:r>
              <w:rPr>
                <w:rFonts w:ascii="Calibri" w:hAnsi="Calibri"/>
                <w:sz w:val="20"/>
                <w:szCs w:val="20"/>
              </w:rPr>
              <w:t>91-81%</w:t>
            </w:r>
          </w:p>
        </w:tc>
        <w:tc>
          <w:tcPr>
            <w:tcW w:w="993" w:type="dxa"/>
            <w:tcBorders>
              <w:top w:val="single" w:sz="6" w:space="0" w:color="auto"/>
              <w:left w:val="single" w:sz="6" w:space="0" w:color="auto"/>
              <w:bottom w:val="single" w:sz="6" w:space="0" w:color="auto"/>
              <w:right w:val="single" w:sz="6" w:space="0" w:color="auto"/>
            </w:tcBorders>
          </w:tcPr>
          <w:p>
            <w:pPr>
              <w:jc w:val="center"/>
              <w:rPr>
                <w:rFonts w:ascii="Calibri" w:hAnsi="Calibri"/>
                <w:sz w:val="20"/>
                <w:szCs w:val="20"/>
              </w:rPr>
            </w:pPr>
            <w:r>
              <w:rPr>
                <w:rFonts w:ascii="Calibri" w:hAnsi="Calibri"/>
                <w:sz w:val="20"/>
                <w:szCs w:val="20"/>
              </w:rPr>
              <w:t>80-70%</w:t>
            </w:r>
          </w:p>
        </w:tc>
        <w:tc>
          <w:tcPr>
            <w:tcW w:w="850" w:type="dxa"/>
            <w:tcBorders>
              <w:top w:val="single" w:sz="6" w:space="0" w:color="auto"/>
              <w:left w:val="single" w:sz="6" w:space="0" w:color="auto"/>
              <w:bottom w:val="single" w:sz="6" w:space="0" w:color="auto"/>
              <w:right w:val="single" w:sz="6" w:space="0" w:color="auto"/>
            </w:tcBorders>
          </w:tcPr>
          <w:p>
            <w:pPr>
              <w:jc w:val="center"/>
              <w:rPr>
                <w:rFonts w:ascii="Calibri" w:hAnsi="Calibri"/>
                <w:sz w:val="20"/>
                <w:szCs w:val="20"/>
              </w:rPr>
            </w:pPr>
            <w:r>
              <w:rPr>
                <w:rFonts w:ascii="Calibri" w:hAnsi="Calibri"/>
                <w:sz w:val="20"/>
                <w:szCs w:val="20"/>
              </w:rPr>
              <w:t>69-59%</w:t>
            </w:r>
          </w:p>
        </w:tc>
        <w:tc>
          <w:tcPr>
            <w:tcW w:w="851" w:type="dxa"/>
            <w:tcBorders>
              <w:top w:val="single" w:sz="6" w:space="0" w:color="auto"/>
              <w:left w:val="single" w:sz="6" w:space="0" w:color="auto"/>
              <w:bottom w:val="single" w:sz="6" w:space="0" w:color="auto"/>
              <w:right w:val="single" w:sz="6" w:space="0" w:color="auto"/>
            </w:tcBorders>
          </w:tcPr>
          <w:p>
            <w:pPr>
              <w:jc w:val="center"/>
              <w:rPr>
                <w:rFonts w:ascii="Calibri" w:hAnsi="Calibri"/>
                <w:sz w:val="20"/>
                <w:szCs w:val="20"/>
              </w:rPr>
            </w:pPr>
            <w:r>
              <w:rPr>
                <w:rFonts w:ascii="Calibri" w:hAnsi="Calibri"/>
                <w:sz w:val="20"/>
                <w:szCs w:val="20"/>
              </w:rPr>
              <w:t>58-47%</w:t>
            </w:r>
          </w:p>
        </w:tc>
        <w:tc>
          <w:tcPr>
            <w:tcW w:w="850" w:type="dxa"/>
            <w:tcBorders>
              <w:top w:val="single" w:sz="6" w:space="0" w:color="auto"/>
              <w:left w:val="single" w:sz="6" w:space="0" w:color="auto"/>
              <w:bottom w:val="single" w:sz="6" w:space="0" w:color="auto"/>
              <w:right w:val="single" w:sz="6" w:space="0" w:color="auto"/>
            </w:tcBorders>
          </w:tcPr>
          <w:p>
            <w:pPr>
              <w:jc w:val="center"/>
              <w:rPr>
                <w:rFonts w:ascii="Calibri" w:hAnsi="Calibri"/>
                <w:sz w:val="20"/>
                <w:szCs w:val="20"/>
              </w:rPr>
            </w:pPr>
            <w:r>
              <w:rPr>
                <w:rFonts w:ascii="Calibri" w:hAnsi="Calibri"/>
                <w:sz w:val="20"/>
                <w:szCs w:val="20"/>
              </w:rPr>
              <w:t>46-31%</w:t>
            </w:r>
          </w:p>
        </w:tc>
        <w:tc>
          <w:tcPr>
            <w:tcW w:w="992" w:type="dxa"/>
            <w:tcBorders>
              <w:top w:val="single" w:sz="6" w:space="0" w:color="auto"/>
              <w:left w:val="single" w:sz="6" w:space="0" w:color="auto"/>
              <w:bottom w:val="single" w:sz="6" w:space="0" w:color="auto"/>
              <w:right w:val="single" w:sz="6" w:space="0" w:color="auto"/>
            </w:tcBorders>
          </w:tcPr>
          <w:p>
            <w:pPr>
              <w:jc w:val="center"/>
              <w:rPr>
                <w:rFonts w:ascii="Calibri" w:hAnsi="Calibri"/>
                <w:sz w:val="20"/>
                <w:szCs w:val="20"/>
              </w:rPr>
            </w:pPr>
            <w:r>
              <w:rPr>
                <w:rFonts w:ascii="Calibri" w:hAnsi="Calibri"/>
                <w:sz w:val="20"/>
                <w:szCs w:val="20"/>
              </w:rPr>
              <w:t>30-0%</w:t>
            </w:r>
          </w:p>
        </w:tc>
      </w:tr>
    </w:tbl>
    <w:p>
      <w:pPr>
        <w:spacing w:before="120" w:after="120"/>
        <w:rPr>
          <w:rFonts w:ascii="Calibri" w:hAnsi="Calibri" w:cs="Calibri"/>
          <w:u w:val="single"/>
        </w:rPr>
      </w:pPr>
      <w:r>
        <w:rPr>
          <w:rFonts w:ascii="Calibri" w:hAnsi="Calibri" w:cs="Calibri"/>
          <w:u w:val="single"/>
        </w:rPr>
        <w:t>Gewichtung</w:t>
      </w:r>
    </w:p>
    <w:p>
      <w:pPr>
        <w:rPr>
          <w:rFonts w:ascii="Calibri" w:hAnsi="Calibri" w:cs="Calibri"/>
        </w:rPr>
      </w:pPr>
      <w:r>
        <w:rPr>
          <w:rFonts w:ascii="Calibri" w:hAnsi="Calibri" w:cs="Calibri"/>
        </w:rPr>
        <w:t>Durch die unterschiedliche Gewichtung einzelner Bewertungskriterien werden Schwerpunkte gesetzt. Durch die Abstufung der Gewichtung erhalten die Bewertungskriterien folgende Bedeutung:</w:t>
      </w:r>
    </w:p>
    <w:p>
      <w:pPr>
        <w:numPr>
          <w:ilvl w:val="12"/>
          <w:numId w:val="0"/>
        </w:numPr>
        <w:tabs>
          <w:tab w:val="left" w:pos="709"/>
          <w:tab w:val="left" w:pos="993"/>
        </w:tabs>
        <w:spacing w:after="20"/>
        <w:ind w:left="284" w:hanging="284"/>
        <w:rPr>
          <w:rFonts w:ascii="Calibri" w:hAnsi="Calibri" w:cs="Calibri"/>
          <w:sz w:val="19"/>
          <w:szCs w:val="19"/>
        </w:rPr>
      </w:pPr>
      <w:r>
        <w:rPr>
          <w:rFonts w:ascii="Calibri" w:hAnsi="Calibri" w:cs="Calibri"/>
          <w:sz w:val="19"/>
          <w:szCs w:val="19"/>
        </w:rPr>
        <w:t>2 = untergeordnete Bedeutung, 3 = normale Bedeutung, 4 = besondere Bedeutung, 5 = herausragende Bedeutung.</w:t>
      </w:r>
    </w:p>
    <w:p>
      <w:pPr>
        <w:numPr>
          <w:ilvl w:val="12"/>
          <w:numId w:val="0"/>
        </w:numPr>
        <w:tabs>
          <w:tab w:val="left" w:pos="709"/>
          <w:tab w:val="left" w:pos="993"/>
        </w:tabs>
        <w:spacing w:after="20"/>
        <w:ind w:left="284" w:hanging="284"/>
        <w:rPr>
          <w:rFonts w:ascii="Calibri" w:hAnsi="Calibri" w:cs="Calibri"/>
        </w:rPr>
      </w:pPr>
      <w:r>
        <w:rPr>
          <w:rFonts w:ascii="Calibri" w:hAnsi="Calibri" w:cs="Calibri"/>
        </w:rPr>
        <w:lastRenderedPageBreak/>
        <w:t>Die Inhalte des Konzeptes werden entsprechend der Matrix bewertet.</w:t>
      </w:r>
    </w:p>
    <w:p>
      <w:pPr>
        <w:tabs>
          <w:tab w:val="left" w:pos="709"/>
          <w:tab w:val="left" w:pos="993"/>
        </w:tabs>
        <w:spacing w:after="60"/>
        <w:rPr>
          <w:rFonts w:ascii="Calibri" w:hAnsi="Calibri" w:cs="Calibri"/>
          <w:sz w:val="12"/>
          <w:szCs w:val="12"/>
        </w:rPr>
      </w:pPr>
    </w:p>
    <w:p>
      <w:pPr>
        <w:tabs>
          <w:tab w:val="left" w:pos="709"/>
          <w:tab w:val="left" w:pos="993"/>
        </w:tabs>
        <w:spacing w:after="60"/>
        <w:rPr>
          <w:rFonts w:ascii="Calibri" w:hAnsi="Calibri" w:cs="Calibri"/>
          <w:sz w:val="12"/>
          <w:szCs w:val="12"/>
        </w:rPr>
      </w:pPr>
    </w:p>
    <w:p>
      <w:pPr>
        <w:tabs>
          <w:tab w:val="left" w:pos="709"/>
          <w:tab w:val="left" w:pos="993"/>
        </w:tabs>
        <w:spacing w:after="60"/>
        <w:rPr>
          <w:rFonts w:ascii="Calibri" w:hAnsi="Calibri" w:cs="Calibri"/>
          <w:sz w:val="12"/>
          <w:szCs w:val="12"/>
        </w:rPr>
      </w:pPr>
    </w:p>
    <w:tbl>
      <w:tblPr>
        <w:tblW w:w="9498" w:type="dxa"/>
        <w:tblInd w:w="70" w:type="dxa"/>
        <w:tblLayout w:type="fixed"/>
        <w:tblCellMar>
          <w:left w:w="70" w:type="dxa"/>
          <w:right w:w="70" w:type="dxa"/>
        </w:tblCellMar>
        <w:tblLook w:val="04A0" w:firstRow="1" w:lastRow="0" w:firstColumn="1" w:lastColumn="0" w:noHBand="0" w:noVBand="1"/>
      </w:tblPr>
      <w:tblGrid>
        <w:gridCol w:w="993"/>
        <w:gridCol w:w="992"/>
        <w:gridCol w:w="992"/>
        <w:gridCol w:w="851"/>
        <w:gridCol w:w="850"/>
        <w:gridCol w:w="851"/>
        <w:gridCol w:w="850"/>
        <w:gridCol w:w="709"/>
        <w:gridCol w:w="1276"/>
        <w:gridCol w:w="1134"/>
      </w:tblGrid>
      <w:tr>
        <w:trPr>
          <w:trHeight w:val="379"/>
        </w:trPr>
        <w:tc>
          <w:tcPr>
            <w:tcW w:w="9498" w:type="dxa"/>
            <w:gridSpan w:val="10"/>
            <w:tcBorders>
              <w:top w:val="single" w:sz="6" w:space="0" w:color="auto"/>
              <w:left w:val="single" w:sz="6" w:space="0" w:color="auto"/>
              <w:bottom w:val="single" w:sz="6" w:space="0" w:color="auto"/>
              <w:right w:val="single" w:sz="6" w:space="0" w:color="auto"/>
            </w:tcBorders>
          </w:tcPr>
          <w:p>
            <w:pPr>
              <w:rPr>
                <w:rFonts w:ascii="Calibri" w:hAnsi="Calibri"/>
                <w:sz w:val="20"/>
                <w:szCs w:val="20"/>
              </w:rPr>
            </w:pPr>
            <w:r>
              <w:rPr>
                <w:rFonts w:ascii="Calibri" w:hAnsi="Calibri"/>
                <w:b/>
                <w:bCs/>
                <w:sz w:val="20"/>
                <w:szCs w:val="20"/>
              </w:rPr>
              <w:t>I. Ausführung und Strukturierung der geforderten Leistungen (max. 30 Punkte)</w:t>
            </w:r>
          </w:p>
        </w:tc>
      </w:tr>
      <w:tr>
        <w:tc>
          <w:tcPr>
            <w:tcW w:w="9498" w:type="dxa"/>
            <w:gridSpan w:val="10"/>
            <w:tcBorders>
              <w:top w:val="single" w:sz="6" w:space="0" w:color="auto"/>
              <w:left w:val="single" w:sz="6" w:space="0" w:color="auto"/>
              <w:bottom w:val="nil"/>
              <w:right w:val="single" w:sz="6" w:space="0" w:color="auto"/>
            </w:tcBorders>
          </w:tcPr>
          <w:p>
            <w:pPr>
              <w:rPr>
                <w:rFonts w:ascii="Calibri" w:hAnsi="Calibri"/>
                <w:sz w:val="20"/>
                <w:szCs w:val="20"/>
              </w:rPr>
            </w:pPr>
            <w:r>
              <w:rPr>
                <w:rFonts w:ascii="Calibri" w:hAnsi="Calibri"/>
                <w:sz w:val="20"/>
                <w:szCs w:val="20"/>
              </w:rPr>
              <w:t xml:space="preserve">Bewertet wird anhand des vorgelegten Konzepts, wie der Bieter die unter Ziffer III. Leistungen des AN aufgeführten Inhalte ausführen und strukturieren wird. </w:t>
            </w:r>
          </w:p>
          <w:p>
            <w:pPr>
              <w:rPr>
                <w:rFonts w:ascii="Calibri" w:hAnsi="Calibri"/>
                <w:sz w:val="20"/>
                <w:szCs w:val="20"/>
              </w:rPr>
            </w:pPr>
          </w:p>
        </w:tc>
      </w:tr>
      <w:tr>
        <w:trPr>
          <w:trHeight w:val="447"/>
        </w:trPr>
        <w:tc>
          <w:tcPr>
            <w:tcW w:w="993"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rPr>
                <w:rFonts w:ascii="Calibri" w:hAnsi="Calibri"/>
                <w:sz w:val="20"/>
                <w:szCs w:val="20"/>
              </w:rPr>
            </w:pPr>
            <w:r>
              <w:rPr>
                <w:rFonts w:ascii="Calibri" w:hAnsi="Calibri"/>
                <w:sz w:val="20"/>
                <w:szCs w:val="20"/>
              </w:rPr>
              <w:t>Stufe</w:t>
            </w:r>
          </w:p>
        </w:tc>
        <w:tc>
          <w:tcPr>
            <w:tcW w:w="992" w:type="dxa"/>
            <w:tcBorders>
              <w:top w:val="single" w:sz="6" w:space="0" w:color="auto"/>
              <w:left w:val="single" w:sz="6" w:space="0" w:color="auto"/>
              <w:bottom w:val="nil"/>
              <w:right w:val="single" w:sz="6" w:space="0" w:color="auto"/>
            </w:tcBorders>
          </w:tcPr>
          <w:p>
            <w:pPr>
              <w:jc w:val="center"/>
              <w:rPr>
                <w:rFonts w:ascii="Calibri" w:hAnsi="Calibri"/>
                <w:sz w:val="20"/>
                <w:szCs w:val="20"/>
              </w:rPr>
            </w:pPr>
            <w:r>
              <w:rPr>
                <w:rFonts w:ascii="Calibri" w:hAnsi="Calibri"/>
                <w:sz w:val="20"/>
                <w:szCs w:val="20"/>
              </w:rPr>
              <w:t>6</w:t>
            </w:r>
          </w:p>
        </w:tc>
        <w:tc>
          <w:tcPr>
            <w:tcW w:w="992"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5</w:t>
            </w:r>
          </w:p>
        </w:tc>
        <w:tc>
          <w:tcPr>
            <w:tcW w:w="851"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4</w:t>
            </w:r>
          </w:p>
        </w:tc>
        <w:tc>
          <w:tcPr>
            <w:tcW w:w="850"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3</w:t>
            </w:r>
          </w:p>
        </w:tc>
        <w:tc>
          <w:tcPr>
            <w:tcW w:w="851"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2</w:t>
            </w:r>
          </w:p>
        </w:tc>
        <w:tc>
          <w:tcPr>
            <w:tcW w:w="850"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1</w:t>
            </w:r>
          </w:p>
        </w:tc>
        <w:tc>
          <w:tcPr>
            <w:tcW w:w="709"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0</w:t>
            </w:r>
          </w:p>
        </w:tc>
        <w:tc>
          <w:tcPr>
            <w:tcW w:w="1276" w:type="dxa"/>
            <w:tcBorders>
              <w:top w:val="single" w:sz="12" w:space="0" w:color="auto"/>
              <w:left w:val="single" w:sz="12" w:space="0" w:color="auto"/>
              <w:bottom w:val="nil"/>
              <w:right w:val="single" w:sz="12" w:space="0" w:color="auto"/>
            </w:tcBorders>
            <w:tcMar>
              <w:top w:w="0" w:type="dxa"/>
              <w:left w:w="71" w:type="dxa"/>
              <w:bottom w:w="0" w:type="dxa"/>
              <w:right w:w="71" w:type="dxa"/>
            </w:tcMar>
            <w:hideMark/>
          </w:tcPr>
          <w:p>
            <w:pPr>
              <w:rPr>
                <w:rFonts w:ascii="Calibri" w:hAnsi="Calibri"/>
                <w:b/>
                <w:bCs/>
                <w:sz w:val="20"/>
                <w:szCs w:val="20"/>
              </w:rPr>
            </w:pPr>
            <w:r>
              <w:rPr>
                <w:rFonts w:ascii="Calibri" w:hAnsi="Calibri"/>
                <w:b/>
                <w:bCs/>
                <w:sz w:val="20"/>
                <w:szCs w:val="20"/>
              </w:rPr>
              <w:t>Gewichtung:</w:t>
            </w:r>
          </w:p>
        </w:tc>
        <w:tc>
          <w:tcPr>
            <w:tcW w:w="1134" w:type="dxa"/>
            <w:vMerge w:val="restart"/>
            <w:tcBorders>
              <w:top w:val="nil"/>
              <w:left w:val="single" w:sz="12" w:space="0" w:color="auto"/>
              <w:bottom w:val="single" w:sz="6" w:space="0" w:color="auto"/>
              <w:right w:val="single" w:sz="6" w:space="0" w:color="auto"/>
            </w:tcBorders>
            <w:tcMar>
              <w:top w:w="0" w:type="dxa"/>
              <w:left w:w="71" w:type="dxa"/>
              <w:bottom w:w="0" w:type="dxa"/>
              <w:right w:w="71" w:type="dxa"/>
            </w:tcMar>
            <w:hideMark/>
          </w:tcPr>
          <w:p>
            <w:pPr>
              <w:rPr>
                <w:rFonts w:ascii="Calibri" w:hAnsi="Calibri"/>
                <w:sz w:val="20"/>
                <w:szCs w:val="20"/>
              </w:rPr>
            </w:pPr>
            <w:r>
              <w:rPr>
                <w:rFonts w:ascii="Calibri" w:hAnsi="Calibri"/>
                <w:sz w:val="20"/>
                <w:szCs w:val="20"/>
              </w:rPr>
              <w:t>Produkt</w:t>
            </w:r>
            <w:r>
              <w:rPr>
                <w:rFonts w:ascii="Calibri" w:hAnsi="Calibri"/>
                <w:sz w:val="20"/>
                <w:szCs w:val="20"/>
              </w:rPr>
              <w:br/>
              <w:t>(Stufenwert</w:t>
            </w:r>
            <w:r>
              <w:rPr>
                <w:rFonts w:ascii="Calibri" w:hAnsi="Calibri"/>
                <w:sz w:val="20"/>
                <w:szCs w:val="20"/>
              </w:rPr>
              <w:br/>
              <w:t>x Gewicht)</w:t>
            </w:r>
          </w:p>
        </w:tc>
      </w:tr>
      <w:tr>
        <w:trPr>
          <w:trHeight w:val="461"/>
        </w:trPr>
        <w:tc>
          <w:tcPr>
            <w:tcW w:w="993"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rPr>
                <w:rFonts w:ascii="Calibri" w:hAnsi="Calibri"/>
                <w:sz w:val="20"/>
                <w:szCs w:val="20"/>
              </w:rPr>
            </w:pPr>
            <w:r>
              <w:rPr>
                <w:rFonts w:ascii="Calibri" w:hAnsi="Calibri"/>
                <w:sz w:val="20"/>
                <w:szCs w:val="20"/>
              </w:rPr>
              <w:t>Kriterium erfüllt zu:</w:t>
            </w:r>
          </w:p>
        </w:tc>
        <w:tc>
          <w:tcPr>
            <w:tcW w:w="992" w:type="dxa"/>
            <w:tcBorders>
              <w:top w:val="single" w:sz="6" w:space="0" w:color="auto"/>
              <w:left w:val="single" w:sz="6" w:space="0" w:color="auto"/>
              <w:bottom w:val="single" w:sz="6" w:space="0" w:color="auto"/>
              <w:right w:val="single" w:sz="6" w:space="0" w:color="auto"/>
            </w:tcBorders>
          </w:tcPr>
          <w:p>
            <w:pPr>
              <w:jc w:val="center"/>
              <w:rPr>
                <w:rFonts w:ascii="Calibri" w:hAnsi="Calibri"/>
                <w:sz w:val="20"/>
                <w:szCs w:val="20"/>
              </w:rPr>
            </w:pPr>
            <w:r>
              <w:rPr>
                <w:rFonts w:ascii="Calibri" w:hAnsi="Calibri"/>
                <w:sz w:val="20"/>
                <w:szCs w:val="20"/>
              </w:rPr>
              <w:t>100-92%</w:t>
            </w:r>
          </w:p>
        </w:tc>
        <w:tc>
          <w:tcPr>
            <w:tcW w:w="992"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sz w:val="20"/>
                <w:szCs w:val="20"/>
              </w:rPr>
            </w:pPr>
            <w:r>
              <w:rPr>
                <w:rFonts w:ascii="Calibri" w:hAnsi="Calibri"/>
                <w:sz w:val="20"/>
                <w:szCs w:val="20"/>
              </w:rPr>
              <w:t>91-81%</w:t>
            </w: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sz w:val="20"/>
                <w:szCs w:val="20"/>
              </w:rPr>
            </w:pPr>
            <w:r>
              <w:rPr>
                <w:rFonts w:ascii="Calibri" w:hAnsi="Calibri"/>
                <w:sz w:val="20"/>
                <w:szCs w:val="20"/>
              </w:rPr>
              <w:t>80-70%</w:t>
            </w: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sz w:val="20"/>
                <w:szCs w:val="20"/>
              </w:rPr>
            </w:pPr>
            <w:r>
              <w:rPr>
                <w:rFonts w:ascii="Calibri" w:hAnsi="Calibri"/>
                <w:sz w:val="20"/>
                <w:szCs w:val="20"/>
              </w:rPr>
              <w:t>69-59%</w:t>
            </w: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sz w:val="20"/>
                <w:szCs w:val="20"/>
              </w:rPr>
            </w:pPr>
            <w:r>
              <w:rPr>
                <w:rFonts w:ascii="Calibri" w:hAnsi="Calibri"/>
                <w:sz w:val="20"/>
                <w:szCs w:val="20"/>
              </w:rPr>
              <w:t>58-47%</w:t>
            </w: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sz w:val="20"/>
                <w:szCs w:val="20"/>
              </w:rPr>
            </w:pPr>
            <w:r>
              <w:rPr>
                <w:rFonts w:ascii="Calibri" w:hAnsi="Calibri"/>
                <w:sz w:val="20"/>
                <w:szCs w:val="20"/>
              </w:rPr>
              <w:t>46-31%</w:t>
            </w:r>
          </w:p>
        </w:tc>
        <w:tc>
          <w:tcPr>
            <w:tcW w:w="709"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sz w:val="20"/>
                <w:szCs w:val="20"/>
              </w:rPr>
            </w:pPr>
            <w:r>
              <w:rPr>
                <w:rFonts w:ascii="Calibri" w:hAnsi="Calibri"/>
                <w:sz w:val="20"/>
                <w:szCs w:val="20"/>
              </w:rPr>
              <w:t>30-0%</w:t>
            </w:r>
          </w:p>
        </w:tc>
        <w:tc>
          <w:tcPr>
            <w:tcW w:w="1276" w:type="dxa"/>
            <w:tcBorders>
              <w:top w:val="nil"/>
              <w:left w:val="single" w:sz="12" w:space="0" w:color="auto"/>
              <w:bottom w:val="single" w:sz="6" w:space="0" w:color="auto"/>
              <w:right w:val="single" w:sz="12" w:space="0" w:color="auto"/>
            </w:tcBorders>
            <w:tcMar>
              <w:top w:w="0" w:type="dxa"/>
              <w:left w:w="71" w:type="dxa"/>
              <w:bottom w:w="0" w:type="dxa"/>
              <w:right w:w="71" w:type="dxa"/>
            </w:tcMar>
          </w:tcPr>
          <w:p>
            <w:pPr>
              <w:rPr>
                <w:rFonts w:ascii="Calibri" w:hAnsi="Calibri"/>
                <w:b/>
                <w:bCs/>
              </w:rPr>
            </w:pPr>
          </w:p>
        </w:tc>
        <w:tc>
          <w:tcPr>
            <w:tcW w:w="1134" w:type="dxa"/>
            <w:vMerge/>
            <w:tcBorders>
              <w:top w:val="nil"/>
              <w:left w:val="single" w:sz="12" w:space="0" w:color="auto"/>
              <w:bottom w:val="single" w:sz="6" w:space="0" w:color="auto"/>
              <w:right w:val="single" w:sz="6" w:space="0" w:color="auto"/>
            </w:tcBorders>
            <w:vAlign w:val="center"/>
            <w:hideMark/>
          </w:tcPr>
          <w:p>
            <w:pPr>
              <w:rPr>
                <w:rFonts w:ascii="Calibri" w:hAnsi="Calibri"/>
              </w:rPr>
            </w:pPr>
          </w:p>
        </w:tc>
      </w:tr>
      <w:tr>
        <w:trPr>
          <w:trHeight w:val="245"/>
        </w:trPr>
        <w:tc>
          <w:tcPr>
            <w:tcW w:w="993"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rPr>
                <w:rFonts w:ascii="Calibri" w:hAnsi="Calibri"/>
              </w:rPr>
            </w:pPr>
          </w:p>
        </w:tc>
        <w:tc>
          <w:tcPr>
            <w:tcW w:w="992" w:type="dxa"/>
            <w:tcBorders>
              <w:top w:val="single" w:sz="6" w:space="0" w:color="auto"/>
              <w:left w:val="single" w:sz="6" w:space="0" w:color="auto"/>
              <w:bottom w:val="single" w:sz="6" w:space="0" w:color="auto"/>
              <w:right w:val="single" w:sz="6" w:space="0" w:color="auto"/>
            </w:tcBorders>
          </w:tcPr>
          <w:p>
            <w:pPr>
              <w:jc w:val="center"/>
              <w:rPr>
                <w:rFonts w:ascii="Calibri" w:hAnsi="Calibri"/>
              </w:rPr>
            </w:pPr>
          </w:p>
        </w:tc>
        <w:tc>
          <w:tcPr>
            <w:tcW w:w="992"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709"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1276" w:type="dxa"/>
            <w:tcBorders>
              <w:top w:val="nil"/>
              <w:left w:val="single" w:sz="12" w:space="0" w:color="auto"/>
              <w:bottom w:val="single" w:sz="12" w:space="0" w:color="auto"/>
              <w:right w:val="single" w:sz="12" w:space="0" w:color="auto"/>
            </w:tcBorders>
            <w:tcMar>
              <w:top w:w="0" w:type="dxa"/>
              <w:left w:w="71" w:type="dxa"/>
              <w:bottom w:w="0" w:type="dxa"/>
              <w:right w:w="71" w:type="dxa"/>
            </w:tcMar>
          </w:tcPr>
          <w:p>
            <w:pPr>
              <w:jc w:val="center"/>
              <w:rPr>
                <w:rFonts w:ascii="Calibri" w:hAnsi="Calibri"/>
                <w:b/>
                <w:bCs/>
                <w:sz w:val="20"/>
                <w:szCs w:val="20"/>
              </w:rPr>
            </w:pPr>
            <w:r>
              <w:rPr>
                <w:rFonts w:ascii="Calibri" w:hAnsi="Calibri"/>
                <w:b/>
                <w:bCs/>
                <w:sz w:val="20"/>
                <w:szCs w:val="20"/>
              </w:rPr>
              <w:t>5</w:t>
            </w:r>
          </w:p>
        </w:tc>
        <w:tc>
          <w:tcPr>
            <w:tcW w:w="1134" w:type="dxa"/>
            <w:tcBorders>
              <w:top w:val="nil"/>
              <w:left w:val="single" w:sz="12"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r>
      <w:tr>
        <w:tc>
          <w:tcPr>
            <w:tcW w:w="9498" w:type="dxa"/>
            <w:gridSpan w:val="10"/>
            <w:tcBorders>
              <w:top w:val="single" w:sz="6" w:space="0" w:color="auto"/>
              <w:left w:val="single" w:sz="6" w:space="0" w:color="auto"/>
              <w:bottom w:val="single" w:sz="6" w:space="0" w:color="auto"/>
              <w:right w:val="single" w:sz="6" w:space="0" w:color="auto"/>
            </w:tcBorders>
          </w:tcPr>
          <w:p>
            <w:pPr>
              <w:rPr>
                <w:rFonts w:ascii="Calibri" w:hAnsi="Calibri"/>
                <w:sz w:val="20"/>
                <w:szCs w:val="20"/>
              </w:rPr>
            </w:pPr>
            <w:r>
              <w:rPr>
                <w:rFonts w:ascii="Calibri" w:hAnsi="Calibri"/>
                <w:sz w:val="20"/>
                <w:szCs w:val="20"/>
              </w:rPr>
              <w:t>Ergänzende Erläuterungen/Bemerkungen (des Bewertenden):</w:t>
            </w:r>
          </w:p>
          <w:p>
            <w:pPr>
              <w:rPr>
                <w:rFonts w:ascii="Calibri" w:hAnsi="Calibri"/>
                <w:sz w:val="20"/>
                <w:szCs w:val="20"/>
              </w:rPr>
            </w:pPr>
          </w:p>
        </w:tc>
      </w:tr>
    </w:tbl>
    <w:p>
      <w:pPr>
        <w:pStyle w:val="Listenabsatz"/>
        <w:autoSpaceDE w:val="0"/>
        <w:autoSpaceDN w:val="0"/>
        <w:adjustRightInd w:val="0"/>
        <w:ind w:left="360"/>
        <w:rPr>
          <w:rFonts w:cs="Arial"/>
          <w:sz w:val="16"/>
          <w:szCs w:val="16"/>
        </w:rPr>
      </w:pPr>
    </w:p>
    <w:p>
      <w:pPr>
        <w:pStyle w:val="Listenabsatz"/>
        <w:autoSpaceDE w:val="0"/>
        <w:autoSpaceDN w:val="0"/>
        <w:adjustRightInd w:val="0"/>
        <w:ind w:left="360"/>
        <w:rPr>
          <w:rFonts w:cs="Arial"/>
          <w:sz w:val="16"/>
          <w:szCs w:val="16"/>
        </w:rPr>
      </w:pPr>
    </w:p>
    <w:p>
      <w:pPr>
        <w:pStyle w:val="Listenabsatz"/>
        <w:autoSpaceDE w:val="0"/>
        <w:autoSpaceDN w:val="0"/>
        <w:adjustRightInd w:val="0"/>
        <w:ind w:left="360"/>
        <w:rPr>
          <w:rFonts w:cs="Arial"/>
          <w:sz w:val="16"/>
          <w:szCs w:val="16"/>
        </w:rPr>
      </w:pPr>
    </w:p>
    <w:tbl>
      <w:tblPr>
        <w:tblW w:w="9498" w:type="dxa"/>
        <w:tblInd w:w="70" w:type="dxa"/>
        <w:tblLayout w:type="fixed"/>
        <w:tblCellMar>
          <w:left w:w="70" w:type="dxa"/>
          <w:right w:w="70" w:type="dxa"/>
        </w:tblCellMar>
        <w:tblLook w:val="04A0" w:firstRow="1" w:lastRow="0" w:firstColumn="1" w:lastColumn="0" w:noHBand="0" w:noVBand="1"/>
      </w:tblPr>
      <w:tblGrid>
        <w:gridCol w:w="993"/>
        <w:gridCol w:w="979"/>
        <w:gridCol w:w="1005"/>
        <w:gridCol w:w="851"/>
        <w:gridCol w:w="850"/>
        <w:gridCol w:w="851"/>
        <w:gridCol w:w="850"/>
        <w:gridCol w:w="709"/>
        <w:gridCol w:w="1276"/>
        <w:gridCol w:w="1134"/>
      </w:tblGrid>
      <w:tr>
        <w:tc>
          <w:tcPr>
            <w:tcW w:w="9498" w:type="dxa"/>
            <w:gridSpan w:val="10"/>
            <w:tcBorders>
              <w:top w:val="single" w:sz="6" w:space="0" w:color="auto"/>
              <w:left w:val="single" w:sz="6" w:space="0" w:color="auto"/>
              <w:bottom w:val="single" w:sz="6" w:space="0" w:color="auto"/>
              <w:right w:val="single" w:sz="6" w:space="0" w:color="auto"/>
            </w:tcBorders>
          </w:tcPr>
          <w:p>
            <w:pPr>
              <w:rPr>
                <w:rFonts w:cs="Arial"/>
                <w:b/>
                <w:sz w:val="20"/>
                <w:szCs w:val="20"/>
              </w:rPr>
            </w:pPr>
            <w:r>
              <w:rPr>
                <w:rFonts w:ascii="Calibri" w:hAnsi="Calibri"/>
                <w:b/>
                <w:bCs/>
                <w:sz w:val="20"/>
                <w:szCs w:val="20"/>
              </w:rPr>
              <w:t>II. E</w:t>
            </w:r>
            <w:r>
              <w:rPr>
                <w:rFonts w:cs="Arial"/>
                <w:b/>
                <w:sz w:val="20"/>
                <w:szCs w:val="20"/>
              </w:rPr>
              <w:t>rfahrung in der sicherheitstechnischen Betreuung vergleichbarer Auftraggeber (max. 24 Punkte)</w:t>
            </w:r>
          </w:p>
          <w:p>
            <w:pPr>
              <w:rPr>
                <w:rFonts w:ascii="Calibri" w:hAnsi="Calibri"/>
                <w:sz w:val="20"/>
                <w:szCs w:val="20"/>
              </w:rPr>
            </w:pPr>
          </w:p>
        </w:tc>
      </w:tr>
      <w:tr>
        <w:tc>
          <w:tcPr>
            <w:tcW w:w="9498" w:type="dxa"/>
            <w:gridSpan w:val="10"/>
            <w:tcBorders>
              <w:top w:val="single" w:sz="6" w:space="0" w:color="auto"/>
              <w:left w:val="single" w:sz="6" w:space="0" w:color="auto"/>
              <w:bottom w:val="single" w:sz="6" w:space="0" w:color="auto"/>
              <w:right w:val="single" w:sz="6" w:space="0" w:color="auto"/>
            </w:tcBorders>
          </w:tcPr>
          <w:p>
            <w:pPr>
              <w:rPr>
                <w:rFonts w:ascii="Calibri" w:hAnsi="Calibri"/>
                <w:sz w:val="20"/>
                <w:szCs w:val="20"/>
              </w:rPr>
            </w:pPr>
            <w:r>
              <w:rPr>
                <w:rFonts w:cs="Arial"/>
                <w:sz w:val="20"/>
                <w:szCs w:val="20"/>
              </w:rPr>
              <w:t xml:space="preserve">Bewertet wird die Wahrnehmung sicherheitstechnischer Betreuungen in Verwaltungs-/Dienstleistungsbereichen vergleichbarer Objekte </w:t>
            </w:r>
            <w:r>
              <w:rPr>
                <w:rFonts w:ascii="Calibri" w:hAnsi="Calibri"/>
                <w:sz w:val="20"/>
                <w:szCs w:val="20"/>
              </w:rPr>
              <w:t xml:space="preserve">in Art und Umfang  (bspw. Anzahl Beschäftigte, Arbeitsbereiche, Betriebsstruktur/-aufbau)  </w:t>
            </w:r>
            <w:r>
              <w:rPr>
                <w:rFonts w:cs="Arial"/>
                <w:sz w:val="20"/>
                <w:szCs w:val="20"/>
              </w:rPr>
              <w:t>anhand von Referenzadressen (s. auch Vordruck IV „Referenzliste“), für die in den letzten drei Jahren vergleichbare sicherheitstechnische Leistungen erbracht wurden</w:t>
            </w:r>
            <w:r>
              <w:rPr>
                <w:rFonts w:ascii="Calibri" w:hAnsi="Calibri"/>
                <w:sz w:val="20"/>
                <w:szCs w:val="20"/>
              </w:rPr>
              <w:t xml:space="preserve">. </w:t>
            </w:r>
          </w:p>
          <w:p>
            <w:pPr>
              <w:rPr>
                <w:rFonts w:ascii="Calibri" w:hAnsi="Calibri"/>
                <w:sz w:val="20"/>
                <w:szCs w:val="20"/>
              </w:rPr>
            </w:pPr>
          </w:p>
        </w:tc>
      </w:tr>
      <w:tr>
        <w:trPr>
          <w:trHeight w:val="600"/>
        </w:trPr>
        <w:tc>
          <w:tcPr>
            <w:tcW w:w="993"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rPr>
                <w:rFonts w:ascii="Calibri" w:hAnsi="Calibri"/>
                <w:sz w:val="20"/>
                <w:szCs w:val="20"/>
              </w:rPr>
            </w:pPr>
            <w:r>
              <w:rPr>
                <w:rFonts w:ascii="Calibri" w:hAnsi="Calibri"/>
                <w:sz w:val="20"/>
                <w:szCs w:val="20"/>
              </w:rPr>
              <w:t>Stufe</w:t>
            </w:r>
          </w:p>
        </w:tc>
        <w:tc>
          <w:tcPr>
            <w:tcW w:w="979" w:type="dxa"/>
            <w:tcBorders>
              <w:top w:val="single" w:sz="6" w:space="0" w:color="auto"/>
              <w:left w:val="single" w:sz="6" w:space="0" w:color="auto"/>
              <w:bottom w:val="nil"/>
              <w:right w:val="single" w:sz="6" w:space="0" w:color="auto"/>
            </w:tcBorders>
          </w:tcPr>
          <w:p>
            <w:pPr>
              <w:rPr>
                <w:rFonts w:ascii="Calibri" w:hAnsi="Calibri"/>
                <w:sz w:val="20"/>
                <w:szCs w:val="20"/>
              </w:rPr>
            </w:pPr>
            <w:r>
              <w:rPr>
                <w:rFonts w:ascii="Calibri" w:hAnsi="Calibri"/>
                <w:sz w:val="20"/>
                <w:szCs w:val="20"/>
              </w:rPr>
              <w:t>6</w:t>
            </w:r>
          </w:p>
        </w:tc>
        <w:tc>
          <w:tcPr>
            <w:tcW w:w="1005"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rPr>
                <w:rFonts w:ascii="Calibri" w:hAnsi="Calibri"/>
                <w:sz w:val="20"/>
                <w:szCs w:val="20"/>
              </w:rPr>
            </w:pPr>
            <w:r>
              <w:rPr>
                <w:rFonts w:ascii="Calibri" w:hAnsi="Calibri"/>
                <w:sz w:val="20"/>
                <w:szCs w:val="20"/>
              </w:rPr>
              <w:t>5</w:t>
            </w:r>
          </w:p>
        </w:tc>
        <w:tc>
          <w:tcPr>
            <w:tcW w:w="851"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rPr>
                <w:rFonts w:ascii="Calibri" w:hAnsi="Calibri"/>
                <w:sz w:val="20"/>
                <w:szCs w:val="20"/>
              </w:rPr>
            </w:pPr>
            <w:r>
              <w:rPr>
                <w:rFonts w:ascii="Calibri" w:hAnsi="Calibri"/>
                <w:sz w:val="20"/>
                <w:szCs w:val="20"/>
              </w:rPr>
              <w:t>4</w:t>
            </w:r>
          </w:p>
        </w:tc>
        <w:tc>
          <w:tcPr>
            <w:tcW w:w="850"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rPr>
                <w:rFonts w:ascii="Calibri" w:hAnsi="Calibri"/>
                <w:sz w:val="20"/>
                <w:szCs w:val="20"/>
              </w:rPr>
            </w:pPr>
            <w:r>
              <w:rPr>
                <w:rFonts w:ascii="Calibri" w:hAnsi="Calibri"/>
                <w:sz w:val="20"/>
                <w:szCs w:val="20"/>
              </w:rPr>
              <w:t>3</w:t>
            </w:r>
          </w:p>
        </w:tc>
        <w:tc>
          <w:tcPr>
            <w:tcW w:w="851"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rPr>
                <w:rFonts w:ascii="Calibri" w:hAnsi="Calibri"/>
                <w:sz w:val="20"/>
                <w:szCs w:val="20"/>
              </w:rPr>
            </w:pPr>
            <w:r>
              <w:rPr>
                <w:rFonts w:ascii="Calibri" w:hAnsi="Calibri"/>
                <w:sz w:val="20"/>
                <w:szCs w:val="20"/>
              </w:rPr>
              <w:t>2</w:t>
            </w:r>
          </w:p>
        </w:tc>
        <w:tc>
          <w:tcPr>
            <w:tcW w:w="850"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rPr>
                <w:rFonts w:ascii="Calibri" w:hAnsi="Calibri"/>
                <w:sz w:val="20"/>
                <w:szCs w:val="20"/>
              </w:rPr>
            </w:pPr>
            <w:r>
              <w:rPr>
                <w:rFonts w:ascii="Calibri" w:hAnsi="Calibri"/>
                <w:sz w:val="20"/>
                <w:szCs w:val="20"/>
              </w:rPr>
              <w:t>1</w:t>
            </w:r>
          </w:p>
        </w:tc>
        <w:tc>
          <w:tcPr>
            <w:tcW w:w="709"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rPr>
                <w:rFonts w:ascii="Calibri" w:hAnsi="Calibri"/>
                <w:sz w:val="20"/>
                <w:szCs w:val="20"/>
              </w:rPr>
            </w:pPr>
            <w:r>
              <w:rPr>
                <w:rFonts w:ascii="Calibri" w:hAnsi="Calibri"/>
                <w:sz w:val="20"/>
                <w:szCs w:val="20"/>
              </w:rPr>
              <w:t>0</w:t>
            </w:r>
          </w:p>
        </w:tc>
        <w:tc>
          <w:tcPr>
            <w:tcW w:w="1276" w:type="dxa"/>
            <w:tcBorders>
              <w:top w:val="single" w:sz="12" w:space="0" w:color="auto"/>
              <w:left w:val="single" w:sz="12" w:space="0" w:color="auto"/>
              <w:bottom w:val="nil"/>
              <w:right w:val="single" w:sz="12" w:space="0" w:color="auto"/>
            </w:tcBorders>
            <w:tcMar>
              <w:top w:w="0" w:type="dxa"/>
              <w:left w:w="71" w:type="dxa"/>
              <w:bottom w:w="0" w:type="dxa"/>
              <w:right w:w="71" w:type="dxa"/>
            </w:tcMar>
            <w:hideMark/>
          </w:tcPr>
          <w:p>
            <w:pPr>
              <w:rPr>
                <w:rFonts w:ascii="Calibri" w:hAnsi="Calibri"/>
                <w:b/>
                <w:bCs/>
                <w:sz w:val="20"/>
                <w:szCs w:val="20"/>
              </w:rPr>
            </w:pPr>
            <w:r>
              <w:rPr>
                <w:rFonts w:ascii="Calibri" w:hAnsi="Calibri"/>
                <w:b/>
                <w:bCs/>
                <w:sz w:val="20"/>
                <w:szCs w:val="20"/>
              </w:rPr>
              <w:t>Gewichtung:</w:t>
            </w:r>
          </w:p>
        </w:tc>
        <w:tc>
          <w:tcPr>
            <w:tcW w:w="1134" w:type="dxa"/>
            <w:vMerge w:val="restart"/>
            <w:tcBorders>
              <w:top w:val="nil"/>
              <w:left w:val="single" w:sz="12" w:space="0" w:color="auto"/>
              <w:bottom w:val="single" w:sz="6" w:space="0" w:color="auto"/>
              <w:right w:val="single" w:sz="6" w:space="0" w:color="auto"/>
            </w:tcBorders>
            <w:tcMar>
              <w:top w:w="0" w:type="dxa"/>
              <w:left w:w="71" w:type="dxa"/>
              <w:bottom w:w="0" w:type="dxa"/>
              <w:right w:w="71" w:type="dxa"/>
            </w:tcMar>
            <w:hideMark/>
          </w:tcPr>
          <w:p>
            <w:pPr>
              <w:rPr>
                <w:rFonts w:ascii="Calibri" w:hAnsi="Calibri"/>
                <w:sz w:val="20"/>
                <w:szCs w:val="20"/>
              </w:rPr>
            </w:pPr>
            <w:r>
              <w:rPr>
                <w:rFonts w:ascii="Calibri" w:hAnsi="Calibri"/>
                <w:sz w:val="20"/>
                <w:szCs w:val="20"/>
              </w:rPr>
              <w:t>Produkt</w:t>
            </w:r>
            <w:r>
              <w:rPr>
                <w:rFonts w:ascii="Calibri" w:hAnsi="Calibri"/>
                <w:sz w:val="20"/>
                <w:szCs w:val="20"/>
              </w:rPr>
              <w:br/>
              <w:t>(Stufenwert</w:t>
            </w:r>
            <w:r>
              <w:rPr>
                <w:rFonts w:ascii="Calibri" w:hAnsi="Calibri"/>
                <w:sz w:val="20"/>
                <w:szCs w:val="20"/>
              </w:rPr>
              <w:br/>
              <w:t>x Gewicht)</w:t>
            </w:r>
          </w:p>
        </w:tc>
      </w:tr>
      <w:tr>
        <w:tc>
          <w:tcPr>
            <w:tcW w:w="993"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rPr>
                <w:rFonts w:ascii="Calibri" w:hAnsi="Calibri"/>
                <w:sz w:val="20"/>
                <w:szCs w:val="20"/>
              </w:rPr>
            </w:pPr>
            <w:r>
              <w:rPr>
                <w:rFonts w:ascii="Calibri" w:hAnsi="Calibri"/>
                <w:sz w:val="20"/>
                <w:szCs w:val="20"/>
              </w:rPr>
              <w:t>Kriterium erfüllt zu:</w:t>
            </w:r>
          </w:p>
        </w:tc>
        <w:tc>
          <w:tcPr>
            <w:tcW w:w="979" w:type="dxa"/>
            <w:tcBorders>
              <w:top w:val="single" w:sz="6" w:space="0" w:color="auto"/>
              <w:left w:val="single" w:sz="6" w:space="0" w:color="auto"/>
              <w:bottom w:val="single" w:sz="6" w:space="0" w:color="auto"/>
              <w:right w:val="single" w:sz="6" w:space="0" w:color="auto"/>
            </w:tcBorders>
          </w:tcPr>
          <w:p>
            <w:pPr>
              <w:jc w:val="center"/>
              <w:rPr>
                <w:rFonts w:ascii="Calibri" w:hAnsi="Calibri"/>
                <w:sz w:val="20"/>
                <w:szCs w:val="20"/>
              </w:rPr>
            </w:pPr>
            <w:r>
              <w:rPr>
                <w:rFonts w:ascii="Calibri" w:hAnsi="Calibri"/>
                <w:sz w:val="20"/>
                <w:szCs w:val="20"/>
              </w:rPr>
              <w:t>100-92%</w:t>
            </w:r>
          </w:p>
        </w:tc>
        <w:tc>
          <w:tcPr>
            <w:tcW w:w="1005"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91-81%</w:t>
            </w: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80-70%</w:t>
            </w: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69-59%</w:t>
            </w: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58-47%</w:t>
            </w: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46-31%</w:t>
            </w:r>
          </w:p>
        </w:tc>
        <w:tc>
          <w:tcPr>
            <w:tcW w:w="709"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30-0%</w:t>
            </w:r>
          </w:p>
        </w:tc>
        <w:tc>
          <w:tcPr>
            <w:tcW w:w="1276" w:type="dxa"/>
            <w:tcBorders>
              <w:top w:val="nil"/>
              <w:left w:val="single" w:sz="12" w:space="0" w:color="auto"/>
              <w:bottom w:val="single" w:sz="6" w:space="0" w:color="auto"/>
              <w:right w:val="single" w:sz="12" w:space="0" w:color="auto"/>
            </w:tcBorders>
            <w:tcMar>
              <w:top w:w="0" w:type="dxa"/>
              <w:left w:w="71" w:type="dxa"/>
              <w:bottom w:w="0" w:type="dxa"/>
              <w:right w:w="71" w:type="dxa"/>
            </w:tcMar>
          </w:tcPr>
          <w:p>
            <w:pPr>
              <w:rPr>
                <w:rFonts w:ascii="Calibri" w:hAnsi="Calibri"/>
                <w:b/>
                <w:bCs/>
              </w:rPr>
            </w:pPr>
          </w:p>
        </w:tc>
        <w:tc>
          <w:tcPr>
            <w:tcW w:w="1134" w:type="dxa"/>
            <w:vMerge/>
            <w:tcBorders>
              <w:top w:val="nil"/>
              <w:left w:val="single" w:sz="12" w:space="0" w:color="auto"/>
              <w:bottom w:val="single" w:sz="6" w:space="0" w:color="auto"/>
              <w:right w:val="single" w:sz="6" w:space="0" w:color="auto"/>
            </w:tcBorders>
            <w:vAlign w:val="center"/>
            <w:hideMark/>
          </w:tcPr>
          <w:p>
            <w:pPr>
              <w:rPr>
                <w:rFonts w:ascii="Calibri" w:hAnsi="Calibri"/>
              </w:rPr>
            </w:pPr>
          </w:p>
        </w:tc>
      </w:tr>
      <w:tr>
        <w:tc>
          <w:tcPr>
            <w:tcW w:w="993"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sz w:val="20"/>
                <w:szCs w:val="20"/>
              </w:rPr>
            </w:pPr>
          </w:p>
        </w:tc>
        <w:tc>
          <w:tcPr>
            <w:tcW w:w="979" w:type="dxa"/>
            <w:tcBorders>
              <w:top w:val="single" w:sz="6" w:space="0" w:color="auto"/>
              <w:left w:val="single" w:sz="6" w:space="0" w:color="auto"/>
              <w:bottom w:val="single" w:sz="6" w:space="0" w:color="auto"/>
              <w:right w:val="single" w:sz="6" w:space="0" w:color="auto"/>
            </w:tcBorders>
          </w:tcPr>
          <w:p>
            <w:pPr>
              <w:jc w:val="center"/>
              <w:rPr>
                <w:rFonts w:ascii="Calibri" w:hAnsi="Calibri"/>
              </w:rPr>
            </w:pPr>
          </w:p>
        </w:tc>
        <w:tc>
          <w:tcPr>
            <w:tcW w:w="1005"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709"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1276" w:type="dxa"/>
            <w:tcBorders>
              <w:top w:val="nil"/>
              <w:left w:val="single" w:sz="12" w:space="0" w:color="auto"/>
              <w:bottom w:val="single" w:sz="12" w:space="0" w:color="auto"/>
              <w:right w:val="single" w:sz="12" w:space="0" w:color="auto"/>
            </w:tcBorders>
            <w:tcMar>
              <w:top w:w="0" w:type="dxa"/>
              <w:left w:w="71" w:type="dxa"/>
              <w:bottom w:w="0" w:type="dxa"/>
              <w:right w:w="71" w:type="dxa"/>
            </w:tcMar>
          </w:tcPr>
          <w:p>
            <w:pPr>
              <w:jc w:val="center"/>
              <w:rPr>
                <w:rFonts w:ascii="Calibri" w:hAnsi="Calibri"/>
                <w:b/>
                <w:bCs/>
                <w:sz w:val="20"/>
                <w:szCs w:val="20"/>
              </w:rPr>
            </w:pPr>
            <w:r>
              <w:rPr>
                <w:rFonts w:ascii="Calibri" w:hAnsi="Calibri"/>
                <w:b/>
                <w:bCs/>
                <w:sz w:val="20"/>
                <w:szCs w:val="20"/>
              </w:rPr>
              <w:t>4</w:t>
            </w:r>
          </w:p>
        </w:tc>
        <w:tc>
          <w:tcPr>
            <w:tcW w:w="1134" w:type="dxa"/>
            <w:tcBorders>
              <w:top w:val="nil"/>
              <w:left w:val="single" w:sz="12"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r>
      <w:tr>
        <w:tc>
          <w:tcPr>
            <w:tcW w:w="9498" w:type="dxa"/>
            <w:gridSpan w:val="10"/>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rPr>
                <w:rFonts w:ascii="Calibri" w:hAnsi="Calibri"/>
                <w:sz w:val="20"/>
                <w:szCs w:val="20"/>
              </w:rPr>
            </w:pPr>
            <w:r>
              <w:rPr>
                <w:rFonts w:ascii="Calibri" w:hAnsi="Calibri"/>
                <w:sz w:val="20"/>
                <w:szCs w:val="20"/>
              </w:rPr>
              <w:t xml:space="preserve">Ergänzende Erläuterungen/Bemerkungen (des Bewertenden): </w:t>
            </w:r>
          </w:p>
          <w:p>
            <w:pPr>
              <w:rPr>
                <w:rFonts w:ascii="Calibri" w:hAnsi="Calibri"/>
                <w:sz w:val="20"/>
                <w:szCs w:val="20"/>
              </w:rPr>
            </w:pPr>
          </w:p>
        </w:tc>
      </w:tr>
    </w:tbl>
    <w:p>
      <w:pPr>
        <w:pStyle w:val="Listenabsatz"/>
        <w:autoSpaceDE w:val="0"/>
        <w:autoSpaceDN w:val="0"/>
        <w:adjustRightInd w:val="0"/>
        <w:ind w:left="360"/>
        <w:rPr>
          <w:rFonts w:cs="Arial"/>
          <w:sz w:val="16"/>
          <w:szCs w:val="16"/>
        </w:rPr>
      </w:pPr>
    </w:p>
    <w:p>
      <w:pPr>
        <w:pStyle w:val="Listenabsatz"/>
        <w:autoSpaceDE w:val="0"/>
        <w:autoSpaceDN w:val="0"/>
        <w:adjustRightInd w:val="0"/>
        <w:ind w:left="360"/>
        <w:rPr>
          <w:rFonts w:cs="Arial"/>
          <w:sz w:val="16"/>
          <w:szCs w:val="16"/>
        </w:rPr>
      </w:pPr>
    </w:p>
    <w:p>
      <w:pPr>
        <w:pStyle w:val="Listenabsatz"/>
        <w:autoSpaceDE w:val="0"/>
        <w:autoSpaceDN w:val="0"/>
        <w:adjustRightInd w:val="0"/>
        <w:ind w:left="360"/>
        <w:rPr>
          <w:rFonts w:cs="Arial"/>
          <w:sz w:val="16"/>
          <w:szCs w:val="16"/>
        </w:rPr>
      </w:pPr>
    </w:p>
    <w:tbl>
      <w:tblPr>
        <w:tblW w:w="9498" w:type="dxa"/>
        <w:tblInd w:w="70" w:type="dxa"/>
        <w:tblLayout w:type="fixed"/>
        <w:tblCellMar>
          <w:left w:w="70" w:type="dxa"/>
          <w:right w:w="70" w:type="dxa"/>
        </w:tblCellMar>
        <w:tblLook w:val="04A0" w:firstRow="1" w:lastRow="0" w:firstColumn="1" w:lastColumn="0" w:noHBand="0" w:noVBand="1"/>
      </w:tblPr>
      <w:tblGrid>
        <w:gridCol w:w="993"/>
        <w:gridCol w:w="992"/>
        <w:gridCol w:w="992"/>
        <w:gridCol w:w="851"/>
        <w:gridCol w:w="850"/>
        <w:gridCol w:w="851"/>
        <w:gridCol w:w="850"/>
        <w:gridCol w:w="709"/>
        <w:gridCol w:w="1276"/>
        <w:gridCol w:w="1134"/>
      </w:tblGrid>
      <w:tr>
        <w:tc>
          <w:tcPr>
            <w:tcW w:w="9498" w:type="dxa"/>
            <w:gridSpan w:val="10"/>
            <w:tcBorders>
              <w:top w:val="single" w:sz="6" w:space="0" w:color="auto"/>
              <w:left w:val="single" w:sz="6" w:space="0" w:color="auto"/>
              <w:bottom w:val="single" w:sz="6" w:space="0" w:color="auto"/>
              <w:right w:val="single" w:sz="6" w:space="0" w:color="auto"/>
            </w:tcBorders>
          </w:tcPr>
          <w:p>
            <w:pPr>
              <w:rPr>
                <w:b/>
                <w:sz w:val="20"/>
                <w:szCs w:val="20"/>
                <w:u w:val="single"/>
              </w:rPr>
            </w:pPr>
            <w:r>
              <w:rPr>
                <w:rFonts w:ascii="Calibri" w:hAnsi="Calibri"/>
                <w:b/>
                <w:bCs/>
                <w:sz w:val="20"/>
                <w:szCs w:val="20"/>
              </w:rPr>
              <w:t xml:space="preserve">III. </w:t>
            </w:r>
            <w:r>
              <w:rPr>
                <w:rFonts w:cs="Arial"/>
                <w:b/>
                <w:sz w:val="20"/>
                <w:szCs w:val="20"/>
              </w:rPr>
              <w:t xml:space="preserve">Fachlichkeit bei der sicherheitstechnischen Umsetzung von vergleichbaren Unternehmens- und Verwaltungsstrukturen (Büroarbeitsplätze)  </w:t>
            </w:r>
            <w:r>
              <w:rPr>
                <w:rFonts w:ascii="Calibri" w:hAnsi="Calibri"/>
                <w:b/>
                <w:bCs/>
                <w:sz w:val="20"/>
                <w:szCs w:val="20"/>
              </w:rPr>
              <w:t>(</w:t>
            </w:r>
            <w:r>
              <w:rPr>
                <w:b/>
                <w:sz w:val="20"/>
                <w:szCs w:val="20"/>
                <w:u w:val="single"/>
              </w:rPr>
              <w:t>max. 24 Punkte)</w:t>
            </w:r>
          </w:p>
          <w:p>
            <w:pPr>
              <w:rPr>
                <w:rFonts w:ascii="Calibri" w:hAnsi="Calibri"/>
                <w:sz w:val="20"/>
                <w:szCs w:val="20"/>
              </w:rPr>
            </w:pPr>
          </w:p>
        </w:tc>
      </w:tr>
      <w:tr>
        <w:tc>
          <w:tcPr>
            <w:tcW w:w="9498" w:type="dxa"/>
            <w:gridSpan w:val="10"/>
            <w:tcBorders>
              <w:top w:val="single" w:sz="6" w:space="0" w:color="auto"/>
              <w:left w:val="single" w:sz="6" w:space="0" w:color="auto"/>
              <w:bottom w:val="single" w:sz="6" w:space="0" w:color="auto"/>
              <w:right w:val="single" w:sz="6" w:space="0" w:color="auto"/>
            </w:tcBorders>
          </w:tcPr>
          <w:p>
            <w:pPr>
              <w:rPr>
                <w:rFonts w:ascii="Calibri" w:hAnsi="Calibri"/>
                <w:sz w:val="20"/>
                <w:szCs w:val="20"/>
              </w:rPr>
            </w:pPr>
            <w:r>
              <w:rPr>
                <w:rFonts w:ascii="Calibri" w:hAnsi="Calibri"/>
                <w:sz w:val="20"/>
                <w:szCs w:val="20"/>
              </w:rPr>
              <w:t xml:space="preserve">Bewertet wird anhand der Ausführungen im vorgelegten Konzept (z. B. durch Erfahrungsberichte), inwieweit es in der bisherigen Arbeit </w:t>
            </w:r>
            <w:r>
              <w:rPr>
                <w:rFonts w:ascii="Calibri" w:hAnsi="Calibri"/>
                <w:sz w:val="20"/>
                <w:szCs w:val="20"/>
                <w:u w:val="single"/>
              </w:rPr>
              <w:t>inhaltliche</w:t>
            </w:r>
            <w:r>
              <w:rPr>
                <w:rFonts w:ascii="Calibri" w:hAnsi="Calibri"/>
                <w:sz w:val="20"/>
                <w:szCs w:val="20"/>
              </w:rPr>
              <w:t xml:space="preserve"> Umsetzungen innerhalb der vorgenannten Arbeitsbereiche gab und welche Leistungen (vgl. zu lfd. Nr. III Leistungsbeschreibung)  für die bisherigen Auftraggeber erbracht wurden. </w:t>
            </w:r>
          </w:p>
          <w:p>
            <w:pPr>
              <w:rPr>
                <w:rFonts w:ascii="Calibri" w:hAnsi="Calibri"/>
                <w:sz w:val="20"/>
                <w:szCs w:val="20"/>
              </w:rPr>
            </w:pPr>
          </w:p>
        </w:tc>
      </w:tr>
      <w:tr>
        <w:trPr>
          <w:trHeight w:val="600"/>
        </w:trPr>
        <w:tc>
          <w:tcPr>
            <w:tcW w:w="993"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rPr>
                <w:rFonts w:ascii="Calibri" w:hAnsi="Calibri"/>
                <w:sz w:val="20"/>
                <w:szCs w:val="20"/>
              </w:rPr>
            </w:pPr>
            <w:r>
              <w:rPr>
                <w:rFonts w:ascii="Calibri" w:hAnsi="Calibri"/>
                <w:sz w:val="20"/>
                <w:szCs w:val="20"/>
              </w:rPr>
              <w:t>Stufe</w:t>
            </w:r>
          </w:p>
        </w:tc>
        <w:tc>
          <w:tcPr>
            <w:tcW w:w="992" w:type="dxa"/>
            <w:tcBorders>
              <w:top w:val="single" w:sz="6" w:space="0" w:color="auto"/>
              <w:left w:val="single" w:sz="6" w:space="0" w:color="auto"/>
              <w:bottom w:val="nil"/>
              <w:right w:val="single" w:sz="6" w:space="0" w:color="auto"/>
            </w:tcBorders>
          </w:tcPr>
          <w:p>
            <w:pPr>
              <w:jc w:val="center"/>
              <w:rPr>
                <w:rFonts w:ascii="Calibri" w:hAnsi="Calibri"/>
                <w:sz w:val="20"/>
                <w:szCs w:val="20"/>
              </w:rPr>
            </w:pPr>
            <w:r>
              <w:rPr>
                <w:rFonts w:ascii="Calibri" w:hAnsi="Calibri"/>
                <w:sz w:val="20"/>
                <w:szCs w:val="20"/>
              </w:rPr>
              <w:t>6</w:t>
            </w:r>
          </w:p>
        </w:tc>
        <w:tc>
          <w:tcPr>
            <w:tcW w:w="992"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5</w:t>
            </w:r>
          </w:p>
        </w:tc>
        <w:tc>
          <w:tcPr>
            <w:tcW w:w="851"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4</w:t>
            </w:r>
          </w:p>
        </w:tc>
        <w:tc>
          <w:tcPr>
            <w:tcW w:w="850"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3</w:t>
            </w:r>
          </w:p>
        </w:tc>
        <w:tc>
          <w:tcPr>
            <w:tcW w:w="851"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2</w:t>
            </w:r>
          </w:p>
        </w:tc>
        <w:tc>
          <w:tcPr>
            <w:tcW w:w="850"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1</w:t>
            </w:r>
          </w:p>
        </w:tc>
        <w:tc>
          <w:tcPr>
            <w:tcW w:w="709"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0</w:t>
            </w:r>
          </w:p>
        </w:tc>
        <w:tc>
          <w:tcPr>
            <w:tcW w:w="1276" w:type="dxa"/>
            <w:tcBorders>
              <w:top w:val="single" w:sz="12" w:space="0" w:color="auto"/>
              <w:left w:val="single" w:sz="12" w:space="0" w:color="auto"/>
              <w:bottom w:val="nil"/>
              <w:right w:val="single" w:sz="12" w:space="0" w:color="auto"/>
            </w:tcBorders>
            <w:tcMar>
              <w:top w:w="0" w:type="dxa"/>
              <w:left w:w="71" w:type="dxa"/>
              <w:bottom w:w="0" w:type="dxa"/>
              <w:right w:w="71" w:type="dxa"/>
            </w:tcMar>
            <w:hideMark/>
          </w:tcPr>
          <w:p>
            <w:pPr>
              <w:rPr>
                <w:rFonts w:ascii="Calibri" w:hAnsi="Calibri"/>
                <w:b/>
                <w:bCs/>
                <w:sz w:val="20"/>
                <w:szCs w:val="20"/>
              </w:rPr>
            </w:pPr>
            <w:r>
              <w:rPr>
                <w:rFonts w:ascii="Calibri" w:hAnsi="Calibri"/>
                <w:b/>
                <w:bCs/>
                <w:sz w:val="20"/>
                <w:szCs w:val="20"/>
              </w:rPr>
              <w:t>Gewichtung:</w:t>
            </w:r>
          </w:p>
        </w:tc>
        <w:tc>
          <w:tcPr>
            <w:tcW w:w="1134" w:type="dxa"/>
            <w:vMerge w:val="restart"/>
            <w:tcBorders>
              <w:top w:val="nil"/>
              <w:left w:val="single" w:sz="12" w:space="0" w:color="auto"/>
              <w:bottom w:val="single" w:sz="6" w:space="0" w:color="auto"/>
              <w:right w:val="single" w:sz="6" w:space="0" w:color="auto"/>
            </w:tcBorders>
            <w:tcMar>
              <w:top w:w="0" w:type="dxa"/>
              <w:left w:w="71" w:type="dxa"/>
              <w:bottom w:w="0" w:type="dxa"/>
              <w:right w:w="71" w:type="dxa"/>
            </w:tcMar>
            <w:hideMark/>
          </w:tcPr>
          <w:p>
            <w:pPr>
              <w:rPr>
                <w:rFonts w:ascii="Calibri" w:hAnsi="Calibri"/>
                <w:sz w:val="20"/>
                <w:szCs w:val="20"/>
              </w:rPr>
            </w:pPr>
            <w:r>
              <w:rPr>
                <w:rFonts w:ascii="Calibri" w:hAnsi="Calibri"/>
                <w:sz w:val="20"/>
                <w:szCs w:val="20"/>
              </w:rPr>
              <w:t>Produkt</w:t>
            </w:r>
            <w:r>
              <w:rPr>
                <w:rFonts w:ascii="Calibri" w:hAnsi="Calibri"/>
                <w:sz w:val="20"/>
                <w:szCs w:val="20"/>
              </w:rPr>
              <w:br/>
              <w:t>(Stufenwert</w:t>
            </w:r>
            <w:r>
              <w:rPr>
                <w:rFonts w:ascii="Calibri" w:hAnsi="Calibri"/>
                <w:sz w:val="20"/>
                <w:szCs w:val="20"/>
              </w:rPr>
              <w:br/>
              <w:t>x Gewicht)</w:t>
            </w:r>
          </w:p>
        </w:tc>
      </w:tr>
      <w:tr>
        <w:tc>
          <w:tcPr>
            <w:tcW w:w="993"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rPr>
                <w:rFonts w:ascii="Calibri" w:hAnsi="Calibri"/>
                <w:sz w:val="20"/>
                <w:szCs w:val="20"/>
              </w:rPr>
            </w:pPr>
            <w:r>
              <w:rPr>
                <w:rFonts w:ascii="Calibri" w:hAnsi="Calibri"/>
                <w:sz w:val="20"/>
                <w:szCs w:val="20"/>
              </w:rPr>
              <w:t>Kriterium erfüllt zu:</w:t>
            </w:r>
          </w:p>
        </w:tc>
        <w:tc>
          <w:tcPr>
            <w:tcW w:w="992" w:type="dxa"/>
            <w:tcBorders>
              <w:top w:val="single" w:sz="6" w:space="0" w:color="auto"/>
              <w:left w:val="single" w:sz="6" w:space="0" w:color="auto"/>
              <w:bottom w:val="single" w:sz="6" w:space="0" w:color="auto"/>
              <w:right w:val="single" w:sz="6" w:space="0" w:color="auto"/>
            </w:tcBorders>
          </w:tcPr>
          <w:p>
            <w:pPr>
              <w:jc w:val="center"/>
              <w:rPr>
                <w:rFonts w:ascii="Calibri" w:hAnsi="Calibri"/>
                <w:sz w:val="20"/>
                <w:szCs w:val="20"/>
              </w:rPr>
            </w:pPr>
            <w:r>
              <w:rPr>
                <w:rFonts w:ascii="Calibri" w:hAnsi="Calibri"/>
                <w:sz w:val="20"/>
                <w:szCs w:val="20"/>
              </w:rPr>
              <w:t>100-92%</w:t>
            </w:r>
          </w:p>
        </w:tc>
        <w:tc>
          <w:tcPr>
            <w:tcW w:w="992"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91-81%</w:t>
            </w: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80-70%</w:t>
            </w: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69-59%</w:t>
            </w: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58-47%</w:t>
            </w: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46-31%</w:t>
            </w:r>
          </w:p>
        </w:tc>
        <w:tc>
          <w:tcPr>
            <w:tcW w:w="709"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30-0%</w:t>
            </w:r>
          </w:p>
        </w:tc>
        <w:tc>
          <w:tcPr>
            <w:tcW w:w="1276" w:type="dxa"/>
            <w:tcBorders>
              <w:top w:val="nil"/>
              <w:left w:val="single" w:sz="12" w:space="0" w:color="auto"/>
              <w:bottom w:val="single" w:sz="6" w:space="0" w:color="auto"/>
              <w:right w:val="single" w:sz="12" w:space="0" w:color="auto"/>
            </w:tcBorders>
            <w:tcMar>
              <w:top w:w="0" w:type="dxa"/>
              <w:left w:w="71" w:type="dxa"/>
              <w:bottom w:w="0" w:type="dxa"/>
              <w:right w:w="71" w:type="dxa"/>
            </w:tcMar>
          </w:tcPr>
          <w:p>
            <w:pPr>
              <w:rPr>
                <w:rFonts w:ascii="Calibri" w:hAnsi="Calibri"/>
                <w:b/>
                <w:bCs/>
              </w:rPr>
            </w:pPr>
          </w:p>
        </w:tc>
        <w:tc>
          <w:tcPr>
            <w:tcW w:w="1134" w:type="dxa"/>
            <w:vMerge/>
            <w:tcBorders>
              <w:top w:val="nil"/>
              <w:left w:val="single" w:sz="12" w:space="0" w:color="auto"/>
              <w:bottom w:val="single" w:sz="6" w:space="0" w:color="auto"/>
              <w:right w:val="single" w:sz="6" w:space="0" w:color="auto"/>
            </w:tcBorders>
            <w:vAlign w:val="center"/>
            <w:hideMark/>
          </w:tcPr>
          <w:p>
            <w:pPr>
              <w:rPr>
                <w:rFonts w:ascii="Calibri" w:hAnsi="Calibri"/>
              </w:rPr>
            </w:pPr>
          </w:p>
        </w:tc>
      </w:tr>
      <w:tr>
        <w:tc>
          <w:tcPr>
            <w:tcW w:w="993"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rPr>
                <w:rFonts w:ascii="Calibri" w:hAnsi="Calibri"/>
                <w:sz w:val="20"/>
                <w:szCs w:val="20"/>
              </w:rPr>
            </w:pPr>
          </w:p>
        </w:tc>
        <w:tc>
          <w:tcPr>
            <w:tcW w:w="992" w:type="dxa"/>
            <w:tcBorders>
              <w:top w:val="single" w:sz="6" w:space="0" w:color="auto"/>
              <w:left w:val="single" w:sz="6" w:space="0" w:color="auto"/>
              <w:bottom w:val="single" w:sz="6" w:space="0" w:color="auto"/>
              <w:right w:val="single" w:sz="6" w:space="0" w:color="auto"/>
            </w:tcBorders>
          </w:tcPr>
          <w:p>
            <w:pPr>
              <w:jc w:val="center"/>
              <w:rPr>
                <w:rFonts w:ascii="Calibri" w:hAnsi="Calibri"/>
              </w:rPr>
            </w:pPr>
          </w:p>
        </w:tc>
        <w:tc>
          <w:tcPr>
            <w:tcW w:w="992"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709"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1276" w:type="dxa"/>
            <w:tcBorders>
              <w:top w:val="nil"/>
              <w:left w:val="single" w:sz="12" w:space="0" w:color="auto"/>
              <w:bottom w:val="single" w:sz="12" w:space="0" w:color="auto"/>
              <w:right w:val="single" w:sz="12" w:space="0" w:color="auto"/>
            </w:tcBorders>
            <w:tcMar>
              <w:top w:w="0" w:type="dxa"/>
              <w:left w:w="71" w:type="dxa"/>
              <w:bottom w:w="0" w:type="dxa"/>
              <w:right w:w="71" w:type="dxa"/>
            </w:tcMar>
          </w:tcPr>
          <w:p>
            <w:pPr>
              <w:jc w:val="center"/>
              <w:rPr>
                <w:rFonts w:ascii="Calibri" w:hAnsi="Calibri"/>
                <w:b/>
                <w:bCs/>
                <w:sz w:val="20"/>
                <w:szCs w:val="20"/>
              </w:rPr>
            </w:pPr>
            <w:r>
              <w:rPr>
                <w:rFonts w:ascii="Calibri" w:hAnsi="Calibri"/>
                <w:b/>
                <w:bCs/>
                <w:sz w:val="20"/>
                <w:szCs w:val="20"/>
              </w:rPr>
              <w:t>4</w:t>
            </w:r>
          </w:p>
        </w:tc>
        <w:tc>
          <w:tcPr>
            <w:tcW w:w="1134" w:type="dxa"/>
            <w:tcBorders>
              <w:top w:val="nil"/>
              <w:left w:val="single" w:sz="12"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r>
      <w:tr>
        <w:tc>
          <w:tcPr>
            <w:tcW w:w="9498" w:type="dxa"/>
            <w:gridSpan w:val="10"/>
            <w:tcBorders>
              <w:top w:val="single" w:sz="6" w:space="0" w:color="auto"/>
              <w:left w:val="single" w:sz="6" w:space="0" w:color="auto"/>
              <w:bottom w:val="single" w:sz="6" w:space="0" w:color="auto"/>
              <w:right w:val="single" w:sz="6" w:space="0" w:color="auto"/>
            </w:tcBorders>
          </w:tcPr>
          <w:p>
            <w:pPr>
              <w:rPr>
                <w:rFonts w:ascii="Calibri" w:hAnsi="Calibri"/>
                <w:sz w:val="20"/>
                <w:szCs w:val="20"/>
              </w:rPr>
            </w:pPr>
            <w:r>
              <w:rPr>
                <w:rFonts w:ascii="Calibri" w:hAnsi="Calibri"/>
                <w:sz w:val="20"/>
                <w:szCs w:val="20"/>
              </w:rPr>
              <w:t xml:space="preserve">Ergänzende Erläuterungen/Bemerkungen (des Bewertenden): </w:t>
            </w:r>
          </w:p>
          <w:p>
            <w:pPr>
              <w:rPr>
                <w:rFonts w:ascii="Calibri" w:hAnsi="Calibri"/>
                <w:sz w:val="20"/>
                <w:szCs w:val="20"/>
              </w:rPr>
            </w:pPr>
          </w:p>
        </w:tc>
      </w:tr>
    </w:tbl>
    <w:p>
      <w:pPr>
        <w:pStyle w:val="Listenabsatz"/>
        <w:autoSpaceDE w:val="0"/>
        <w:autoSpaceDN w:val="0"/>
        <w:adjustRightInd w:val="0"/>
        <w:ind w:left="360"/>
        <w:rPr>
          <w:rFonts w:cs="Arial"/>
          <w:sz w:val="16"/>
          <w:szCs w:val="16"/>
        </w:rPr>
      </w:pPr>
    </w:p>
    <w:p>
      <w:pPr>
        <w:autoSpaceDE w:val="0"/>
        <w:autoSpaceDN w:val="0"/>
        <w:adjustRightInd w:val="0"/>
        <w:rPr>
          <w:rFonts w:cs="Arial"/>
          <w:color w:val="FF0000"/>
          <w:sz w:val="16"/>
          <w:szCs w:val="16"/>
        </w:rPr>
      </w:pPr>
    </w:p>
    <w:p>
      <w:pPr>
        <w:pStyle w:val="Listenabsatz"/>
        <w:autoSpaceDE w:val="0"/>
        <w:autoSpaceDN w:val="0"/>
        <w:adjustRightInd w:val="0"/>
        <w:ind w:left="360"/>
        <w:rPr>
          <w:rFonts w:cs="Arial"/>
          <w:color w:val="FF0000"/>
          <w:sz w:val="16"/>
          <w:szCs w:val="16"/>
        </w:rPr>
      </w:pPr>
    </w:p>
    <w:p>
      <w:pPr>
        <w:pStyle w:val="Listenabsatz"/>
        <w:autoSpaceDE w:val="0"/>
        <w:autoSpaceDN w:val="0"/>
        <w:adjustRightInd w:val="0"/>
        <w:ind w:left="360"/>
        <w:rPr>
          <w:rFonts w:cs="Arial"/>
          <w:color w:val="FF0000"/>
          <w:sz w:val="16"/>
          <w:szCs w:val="16"/>
        </w:rPr>
      </w:pPr>
    </w:p>
    <w:tbl>
      <w:tblPr>
        <w:tblW w:w="9498" w:type="dxa"/>
        <w:tblInd w:w="70" w:type="dxa"/>
        <w:tblLayout w:type="fixed"/>
        <w:tblCellMar>
          <w:left w:w="70" w:type="dxa"/>
          <w:right w:w="70" w:type="dxa"/>
        </w:tblCellMar>
        <w:tblLook w:val="04A0" w:firstRow="1" w:lastRow="0" w:firstColumn="1" w:lastColumn="0" w:noHBand="0" w:noVBand="1"/>
      </w:tblPr>
      <w:tblGrid>
        <w:gridCol w:w="993"/>
        <w:gridCol w:w="979"/>
        <w:gridCol w:w="1005"/>
        <w:gridCol w:w="851"/>
        <w:gridCol w:w="850"/>
        <w:gridCol w:w="851"/>
        <w:gridCol w:w="850"/>
        <w:gridCol w:w="709"/>
        <w:gridCol w:w="1276"/>
        <w:gridCol w:w="1134"/>
      </w:tblGrid>
      <w:tr>
        <w:tc>
          <w:tcPr>
            <w:tcW w:w="9498" w:type="dxa"/>
            <w:gridSpan w:val="10"/>
            <w:tcBorders>
              <w:top w:val="single" w:sz="6" w:space="0" w:color="auto"/>
              <w:left w:val="single" w:sz="6" w:space="0" w:color="auto"/>
              <w:bottom w:val="single" w:sz="6" w:space="0" w:color="auto"/>
              <w:right w:val="single" w:sz="6" w:space="0" w:color="auto"/>
            </w:tcBorders>
          </w:tcPr>
          <w:p>
            <w:pPr>
              <w:rPr>
                <w:b/>
                <w:sz w:val="20"/>
                <w:szCs w:val="20"/>
                <w:u w:val="single"/>
              </w:rPr>
            </w:pPr>
            <w:r>
              <w:rPr>
                <w:rFonts w:ascii="Calibri" w:hAnsi="Calibri"/>
                <w:b/>
                <w:bCs/>
                <w:sz w:val="20"/>
                <w:szCs w:val="20"/>
              </w:rPr>
              <w:t xml:space="preserve">IV. </w:t>
            </w:r>
            <w:r>
              <w:rPr>
                <w:rFonts w:cs="Arial"/>
                <w:b/>
                <w:sz w:val="20"/>
                <w:szCs w:val="20"/>
              </w:rPr>
              <w:t>Fachlichkeit bei der sicherheitstechnischen Umsetzung innerhalb handwerklich-technischer Bereiche; beispielsweise Deponie, Kreisstraßenmeistereien</w:t>
            </w:r>
            <w:r>
              <w:rPr>
                <w:rFonts w:ascii="Calibri" w:hAnsi="Calibri"/>
                <w:b/>
                <w:bCs/>
                <w:sz w:val="20"/>
                <w:szCs w:val="20"/>
              </w:rPr>
              <w:t xml:space="preserve"> (</w:t>
            </w:r>
            <w:r>
              <w:rPr>
                <w:b/>
                <w:sz w:val="20"/>
                <w:szCs w:val="20"/>
                <w:u w:val="single"/>
              </w:rPr>
              <w:t>max. 24 Punkte)</w:t>
            </w:r>
          </w:p>
          <w:p>
            <w:pPr>
              <w:rPr>
                <w:rFonts w:ascii="Calibri" w:hAnsi="Calibri"/>
                <w:sz w:val="20"/>
                <w:szCs w:val="20"/>
              </w:rPr>
            </w:pPr>
          </w:p>
        </w:tc>
      </w:tr>
      <w:tr>
        <w:tc>
          <w:tcPr>
            <w:tcW w:w="9498" w:type="dxa"/>
            <w:gridSpan w:val="10"/>
            <w:tcBorders>
              <w:top w:val="single" w:sz="6" w:space="0" w:color="auto"/>
              <w:left w:val="single" w:sz="6" w:space="0" w:color="auto"/>
              <w:bottom w:val="single" w:sz="6" w:space="0" w:color="auto"/>
              <w:right w:val="single" w:sz="6" w:space="0" w:color="auto"/>
            </w:tcBorders>
          </w:tcPr>
          <w:p>
            <w:pPr>
              <w:rPr>
                <w:rFonts w:ascii="Calibri" w:hAnsi="Calibri"/>
                <w:sz w:val="20"/>
                <w:szCs w:val="20"/>
              </w:rPr>
            </w:pPr>
            <w:r>
              <w:rPr>
                <w:rFonts w:ascii="Calibri" w:hAnsi="Calibri"/>
                <w:sz w:val="20"/>
                <w:szCs w:val="20"/>
              </w:rPr>
              <w:t xml:space="preserve">Bewertet wird anhand der Ausführungen im vorgelegten Konzept (z. B. durch Erfahrungsberichte), inwieweit es in der bisherigen Arbeit </w:t>
            </w:r>
            <w:r>
              <w:rPr>
                <w:rFonts w:ascii="Calibri" w:hAnsi="Calibri"/>
                <w:sz w:val="20"/>
                <w:szCs w:val="20"/>
                <w:u w:val="single"/>
              </w:rPr>
              <w:t>inhaltliche</w:t>
            </w:r>
            <w:r>
              <w:rPr>
                <w:rFonts w:ascii="Calibri" w:hAnsi="Calibri"/>
                <w:sz w:val="20"/>
                <w:szCs w:val="20"/>
              </w:rPr>
              <w:t xml:space="preserve"> Umsetzungen innerhalb der vorgenannten Arbeitsbereiche gab und welche Leistungen (vgl. zu lfd. Nr. III Leistungsbeschreibung) für die bisherigen Auftraggeber erbracht wurden. </w:t>
            </w:r>
          </w:p>
          <w:p>
            <w:pPr>
              <w:rPr>
                <w:rFonts w:ascii="Calibri" w:hAnsi="Calibri"/>
                <w:sz w:val="20"/>
                <w:szCs w:val="20"/>
              </w:rPr>
            </w:pPr>
          </w:p>
        </w:tc>
      </w:tr>
      <w:tr>
        <w:trPr>
          <w:trHeight w:val="600"/>
        </w:trPr>
        <w:tc>
          <w:tcPr>
            <w:tcW w:w="993"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rPr>
                <w:rFonts w:ascii="Calibri" w:hAnsi="Calibri"/>
                <w:sz w:val="20"/>
                <w:szCs w:val="20"/>
              </w:rPr>
            </w:pPr>
            <w:r>
              <w:rPr>
                <w:rFonts w:ascii="Calibri" w:hAnsi="Calibri"/>
                <w:sz w:val="20"/>
                <w:szCs w:val="20"/>
              </w:rPr>
              <w:lastRenderedPageBreak/>
              <w:t>Stufe</w:t>
            </w:r>
          </w:p>
        </w:tc>
        <w:tc>
          <w:tcPr>
            <w:tcW w:w="979" w:type="dxa"/>
            <w:tcBorders>
              <w:top w:val="single" w:sz="6" w:space="0" w:color="auto"/>
              <w:left w:val="single" w:sz="6" w:space="0" w:color="auto"/>
              <w:bottom w:val="nil"/>
              <w:right w:val="single" w:sz="6" w:space="0" w:color="auto"/>
            </w:tcBorders>
          </w:tcPr>
          <w:p>
            <w:pPr>
              <w:jc w:val="center"/>
              <w:rPr>
                <w:rFonts w:ascii="Calibri" w:hAnsi="Calibri"/>
                <w:sz w:val="20"/>
                <w:szCs w:val="20"/>
              </w:rPr>
            </w:pPr>
            <w:r>
              <w:rPr>
                <w:rFonts w:ascii="Calibri" w:hAnsi="Calibri"/>
                <w:sz w:val="20"/>
                <w:szCs w:val="20"/>
              </w:rPr>
              <w:t>6</w:t>
            </w:r>
          </w:p>
        </w:tc>
        <w:tc>
          <w:tcPr>
            <w:tcW w:w="1005"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5</w:t>
            </w:r>
          </w:p>
        </w:tc>
        <w:tc>
          <w:tcPr>
            <w:tcW w:w="851"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4</w:t>
            </w:r>
          </w:p>
        </w:tc>
        <w:tc>
          <w:tcPr>
            <w:tcW w:w="850"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3</w:t>
            </w:r>
          </w:p>
        </w:tc>
        <w:tc>
          <w:tcPr>
            <w:tcW w:w="851"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2</w:t>
            </w:r>
          </w:p>
        </w:tc>
        <w:tc>
          <w:tcPr>
            <w:tcW w:w="850"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1</w:t>
            </w:r>
          </w:p>
        </w:tc>
        <w:tc>
          <w:tcPr>
            <w:tcW w:w="709" w:type="dxa"/>
            <w:tcBorders>
              <w:top w:val="single" w:sz="6" w:space="0" w:color="auto"/>
              <w:left w:val="single" w:sz="6" w:space="0" w:color="auto"/>
              <w:bottom w:val="nil"/>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0</w:t>
            </w:r>
          </w:p>
        </w:tc>
        <w:tc>
          <w:tcPr>
            <w:tcW w:w="1276" w:type="dxa"/>
            <w:tcBorders>
              <w:top w:val="single" w:sz="12" w:space="0" w:color="auto"/>
              <w:left w:val="single" w:sz="12" w:space="0" w:color="auto"/>
              <w:bottom w:val="nil"/>
              <w:right w:val="single" w:sz="12" w:space="0" w:color="auto"/>
            </w:tcBorders>
            <w:tcMar>
              <w:top w:w="0" w:type="dxa"/>
              <w:left w:w="71" w:type="dxa"/>
              <w:bottom w:w="0" w:type="dxa"/>
              <w:right w:w="71" w:type="dxa"/>
            </w:tcMar>
            <w:hideMark/>
          </w:tcPr>
          <w:p>
            <w:pPr>
              <w:rPr>
                <w:rFonts w:ascii="Calibri" w:hAnsi="Calibri"/>
                <w:b/>
                <w:bCs/>
                <w:sz w:val="20"/>
                <w:szCs w:val="20"/>
              </w:rPr>
            </w:pPr>
            <w:r>
              <w:rPr>
                <w:rFonts w:ascii="Calibri" w:hAnsi="Calibri"/>
                <w:b/>
                <w:bCs/>
                <w:sz w:val="20"/>
                <w:szCs w:val="20"/>
              </w:rPr>
              <w:t>Gewichtung:</w:t>
            </w:r>
          </w:p>
        </w:tc>
        <w:tc>
          <w:tcPr>
            <w:tcW w:w="1134" w:type="dxa"/>
            <w:vMerge w:val="restart"/>
            <w:tcBorders>
              <w:top w:val="nil"/>
              <w:left w:val="single" w:sz="12" w:space="0" w:color="auto"/>
              <w:bottom w:val="single" w:sz="6" w:space="0" w:color="auto"/>
              <w:right w:val="single" w:sz="6" w:space="0" w:color="auto"/>
            </w:tcBorders>
            <w:tcMar>
              <w:top w:w="0" w:type="dxa"/>
              <w:left w:w="71" w:type="dxa"/>
              <w:bottom w:w="0" w:type="dxa"/>
              <w:right w:w="71" w:type="dxa"/>
            </w:tcMar>
            <w:hideMark/>
          </w:tcPr>
          <w:p>
            <w:pPr>
              <w:rPr>
                <w:rFonts w:ascii="Calibri" w:hAnsi="Calibri"/>
                <w:sz w:val="20"/>
                <w:szCs w:val="20"/>
              </w:rPr>
            </w:pPr>
            <w:r>
              <w:rPr>
                <w:rFonts w:ascii="Calibri" w:hAnsi="Calibri"/>
                <w:sz w:val="20"/>
                <w:szCs w:val="20"/>
              </w:rPr>
              <w:t>Produkt</w:t>
            </w:r>
            <w:r>
              <w:rPr>
                <w:rFonts w:ascii="Calibri" w:hAnsi="Calibri"/>
                <w:sz w:val="20"/>
                <w:szCs w:val="20"/>
              </w:rPr>
              <w:br/>
              <w:t>(Stufenwert</w:t>
            </w:r>
            <w:r>
              <w:rPr>
                <w:rFonts w:ascii="Calibri" w:hAnsi="Calibri"/>
                <w:sz w:val="20"/>
                <w:szCs w:val="20"/>
              </w:rPr>
              <w:br/>
              <w:t>x Gewicht)</w:t>
            </w:r>
          </w:p>
        </w:tc>
      </w:tr>
      <w:tr>
        <w:tc>
          <w:tcPr>
            <w:tcW w:w="993"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rPr>
                <w:rFonts w:ascii="Calibri" w:hAnsi="Calibri"/>
                <w:sz w:val="20"/>
                <w:szCs w:val="20"/>
              </w:rPr>
            </w:pPr>
            <w:r>
              <w:rPr>
                <w:rFonts w:ascii="Calibri" w:hAnsi="Calibri"/>
                <w:sz w:val="20"/>
                <w:szCs w:val="20"/>
              </w:rPr>
              <w:t>Kriterium erfüllt zu:</w:t>
            </w:r>
          </w:p>
        </w:tc>
        <w:tc>
          <w:tcPr>
            <w:tcW w:w="979" w:type="dxa"/>
            <w:tcBorders>
              <w:top w:val="single" w:sz="6" w:space="0" w:color="auto"/>
              <w:left w:val="single" w:sz="6" w:space="0" w:color="auto"/>
              <w:bottom w:val="single" w:sz="6" w:space="0" w:color="auto"/>
              <w:right w:val="single" w:sz="6" w:space="0" w:color="auto"/>
            </w:tcBorders>
          </w:tcPr>
          <w:p>
            <w:pPr>
              <w:jc w:val="center"/>
              <w:rPr>
                <w:rFonts w:ascii="Calibri" w:hAnsi="Calibri"/>
                <w:sz w:val="20"/>
                <w:szCs w:val="20"/>
              </w:rPr>
            </w:pPr>
            <w:r>
              <w:rPr>
                <w:rFonts w:ascii="Calibri" w:hAnsi="Calibri"/>
                <w:sz w:val="20"/>
                <w:szCs w:val="20"/>
              </w:rPr>
              <w:t>100-92%</w:t>
            </w:r>
          </w:p>
        </w:tc>
        <w:tc>
          <w:tcPr>
            <w:tcW w:w="1005"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91-81%</w:t>
            </w: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80-70%</w:t>
            </w: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69-59%</w:t>
            </w: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58-47%</w:t>
            </w: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46-31%</w:t>
            </w:r>
          </w:p>
        </w:tc>
        <w:tc>
          <w:tcPr>
            <w:tcW w:w="709"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jc w:val="center"/>
              <w:rPr>
                <w:rFonts w:ascii="Calibri" w:hAnsi="Calibri"/>
                <w:sz w:val="20"/>
                <w:szCs w:val="20"/>
              </w:rPr>
            </w:pPr>
            <w:r>
              <w:rPr>
                <w:rFonts w:ascii="Calibri" w:hAnsi="Calibri"/>
                <w:sz w:val="20"/>
                <w:szCs w:val="20"/>
              </w:rPr>
              <w:t>30-0%</w:t>
            </w:r>
          </w:p>
        </w:tc>
        <w:tc>
          <w:tcPr>
            <w:tcW w:w="1276" w:type="dxa"/>
            <w:tcBorders>
              <w:top w:val="nil"/>
              <w:left w:val="single" w:sz="12" w:space="0" w:color="auto"/>
              <w:bottom w:val="single" w:sz="6" w:space="0" w:color="auto"/>
              <w:right w:val="single" w:sz="12" w:space="0" w:color="auto"/>
            </w:tcBorders>
            <w:tcMar>
              <w:top w:w="0" w:type="dxa"/>
              <w:left w:w="71" w:type="dxa"/>
              <w:bottom w:w="0" w:type="dxa"/>
              <w:right w:w="71" w:type="dxa"/>
            </w:tcMar>
          </w:tcPr>
          <w:p>
            <w:pPr>
              <w:rPr>
                <w:rFonts w:ascii="Calibri" w:hAnsi="Calibri"/>
                <w:b/>
                <w:bCs/>
              </w:rPr>
            </w:pPr>
          </w:p>
        </w:tc>
        <w:tc>
          <w:tcPr>
            <w:tcW w:w="1134" w:type="dxa"/>
            <w:vMerge/>
            <w:tcBorders>
              <w:top w:val="nil"/>
              <w:left w:val="single" w:sz="12" w:space="0" w:color="auto"/>
              <w:bottom w:val="single" w:sz="6" w:space="0" w:color="auto"/>
              <w:right w:val="single" w:sz="6" w:space="0" w:color="auto"/>
            </w:tcBorders>
            <w:vAlign w:val="center"/>
            <w:hideMark/>
          </w:tcPr>
          <w:p>
            <w:pPr>
              <w:rPr>
                <w:rFonts w:ascii="Calibri" w:hAnsi="Calibri"/>
              </w:rPr>
            </w:pPr>
          </w:p>
        </w:tc>
      </w:tr>
      <w:tr>
        <w:tc>
          <w:tcPr>
            <w:tcW w:w="993"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sz w:val="20"/>
                <w:szCs w:val="20"/>
              </w:rPr>
            </w:pPr>
          </w:p>
        </w:tc>
        <w:tc>
          <w:tcPr>
            <w:tcW w:w="979" w:type="dxa"/>
            <w:tcBorders>
              <w:top w:val="single" w:sz="6" w:space="0" w:color="auto"/>
              <w:left w:val="single" w:sz="6" w:space="0" w:color="auto"/>
              <w:bottom w:val="single" w:sz="6" w:space="0" w:color="auto"/>
              <w:right w:val="single" w:sz="6" w:space="0" w:color="auto"/>
            </w:tcBorders>
          </w:tcPr>
          <w:p>
            <w:pPr>
              <w:jc w:val="center"/>
              <w:rPr>
                <w:rFonts w:ascii="Calibri" w:hAnsi="Calibri"/>
              </w:rPr>
            </w:pPr>
          </w:p>
        </w:tc>
        <w:tc>
          <w:tcPr>
            <w:tcW w:w="1005"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851"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850"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709" w:type="dxa"/>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c>
          <w:tcPr>
            <w:tcW w:w="1276" w:type="dxa"/>
            <w:tcBorders>
              <w:top w:val="nil"/>
              <w:left w:val="single" w:sz="12" w:space="0" w:color="auto"/>
              <w:bottom w:val="single" w:sz="12" w:space="0" w:color="auto"/>
              <w:right w:val="single" w:sz="12" w:space="0" w:color="auto"/>
            </w:tcBorders>
            <w:tcMar>
              <w:top w:w="0" w:type="dxa"/>
              <w:left w:w="71" w:type="dxa"/>
              <w:bottom w:w="0" w:type="dxa"/>
              <w:right w:w="71" w:type="dxa"/>
            </w:tcMar>
          </w:tcPr>
          <w:p>
            <w:pPr>
              <w:jc w:val="center"/>
              <w:rPr>
                <w:rFonts w:ascii="Calibri" w:hAnsi="Calibri"/>
                <w:b/>
                <w:bCs/>
                <w:sz w:val="20"/>
                <w:szCs w:val="20"/>
              </w:rPr>
            </w:pPr>
            <w:r>
              <w:rPr>
                <w:rFonts w:ascii="Calibri" w:hAnsi="Calibri"/>
                <w:b/>
                <w:bCs/>
                <w:sz w:val="20"/>
                <w:szCs w:val="20"/>
              </w:rPr>
              <w:t>4</w:t>
            </w:r>
          </w:p>
        </w:tc>
        <w:tc>
          <w:tcPr>
            <w:tcW w:w="1134" w:type="dxa"/>
            <w:tcBorders>
              <w:top w:val="nil"/>
              <w:left w:val="single" w:sz="12" w:space="0" w:color="auto"/>
              <w:bottom w:val="single" w:sz="6" w:space="0" w:color="auto"/>
              <w:right w:val="single" w:sz="6" w:space="0" w:color="auto"/>
            </w:tcBorders>
            <w:tcMar>
              <w:top w:w="0" w:type="dxa"/>
              <w:left w:w="71" w:type="dxa"/>
              <w:bottom w:w="0" w:type="dxa"/>
              <w:right w:w="71" w:type="dxa"/>
            </w:tcMar>
          </w:tcPr>
          <w:p>
            <w:pPr>
              <w:jc w:val="center"/>
              <w:rPr>
                <w:rFonts w:ascii="Calibri" w:hAnsi="Calibri"/>
              </w:rPr>
            </w:pPr>
          </w:p>
        </w:tc>
      </w:tr>
      <w:tr>
        <w:tc>
          <w:tcPr>
            <w:tcW w:w="9498" w:type="dxa"/>
            <w:gridSpan w:val="10"/>
            <w:tcBorders>
              <w:top w:val="single" w:sz="6" w:space="0" w:color="auto"/>
              <w:left w:val="single" w:sz="6" w:space="0" w:color="auto"/>
              <w:bottom w:val="single" w:sz="6" w:space="0" w:color="auto"/>
              <w:right w:val="single" w:sz="6" w:space="0" w:color="auto"/>
            </w:tcBorders>
            <w:tcMar>
              <w:top w:w="0" w:type="dxa"/>
              <w:left w:w="71" w:type="dxa"/>
              <w:bottom w:w="0" w:type="dxa"/>
              <w:right w:w="71" w:type="dxa"/>
            </w:tcMar>
            <w:hideMark/>
          </w:tcPr>
          <w:p>
            <w:pPr>
              <w:rPr>
                <w:rFonts w:ascii="Calibri" w:hAnsi="Calibri"/>
                <w:sz w:val="20"/>
                <w:szCs w:val="20"/>
              </w:rPr>
            </w:pPr>
            <w:r>
              <w:rPr>
                <w:rFonts w:ascii="Calibri" w:hAnsi="Calibri"/>
                <w:sz w:val="20"/>
                <w:szCs w:val="20"/>
              </w:rPr>
              <w:t xml:space="preserve">Ergänzende Erläuterungen/Bemerkungen (des Bewertenden): </w:t>
            </w:r>
          </w:p>
          <w:p>
            <w:pPr>
              <w:rPr>
                <w:rFonts w:ascii="Calibri" w:hAnsi="Calibri"/>
                <w:sz w:val="20"/>
                <w:szCs w:val="20"/>
              </w:rPr>
            </w:pPr>
          </w:p>
        </w:tc>
      </w:tr>
    </w:tbl>
    <w:p>
      <w:pPr>
        <w:pStyle w:val="Listenabsatz"/>
        <w:autoSpaceDE w:val="0"/>
        <w:autoSpaceDN w:val="0"/>
        <w:adjustRightInd w:val="0"/>
        <w:ind w:left="360"/>
        <w:rPr>
          <w:rFonts w:cs="Arial"/>
          <w:sz w:val="16"/>
          <w:szCs w:val="16"/>
        </w:rPr>
      </w:pPr>
    </w:p>
    <w:p>
      <w:pPr>
        <w:pStyle w:val="Listenabsatz"/>
        <w:autoSpaceDE w:val="0"/>
        <w:autoSpaceDN w:val="0"/>
        <w:adjustRightInd w:val="0"/>
        <w:ind w:left="360"/>
        <w:rPr>
          <w:rFonts w:cs="Arial"/>
          <w:sz w:val="16"/>
          <w:szCs w:val="16"/>
        </w:rPr>
      </w:pPr>
    </w:p>
    <w:p>
      <w:pPr>
        <w:pStyle w:val="Listenabsatz"/>
        <w:autoSpaceDE w:val="0"/>
        <w:autoSpaceDN w:val="0"/>
        <w:adjustRightInd w:val="0"/>
        <w:ind w:left="357"/>
        <w:rPr>
          <w:rFonts w:cs="Arial"/>
          <w:sz w:val="16"/>
          <w:szCs w:val="16"/>
        </w:rPr>
      </w:pPr>
    </w:p>
    <w:p>
      <w:pPr>
        <w:pStyle w:val="Listenabsatz"/>
        <w:autoSpaceDE w:val="0"/>
        <w:autoSpaceDN w:val="0"/>
        <w:adjustRightInd w:val="0"/>
        <w:ind w:left="357"/>
        <w:rPr>
          <w:rFonts w:cs="Arial"/>
          <w:sz w:val="16"/>
          <w:szCs w:val="16"/>
        </w:rPr>
      </w:pPr>
    </w:p>
    <w:p>
      <w:pPr>
        <w:autoSpaceDE w:val="0"/>
        <w:autoSpaceDN w:val="0"/>
        <w:adjustRightInd w:val="0"/>
        <w:rPr>
          <w:rFonts w:cs="Arial"/>
          <w:sz w:val="16"/>
          <w:szCs w:val="16"/>
        </w:rPr>
      </w:pPr>
    </w:p>
    <w:p>
      <w:pPr>
        <w:autoSpaceDE w:val="0"/>
        <w:autoSpaceDN w:val="0"/>
        <w:adjustRightInd w:val="0"/>
        <w:rPr>
          <w:rFonts w:cs="Arial"/>
        </w:rPr>
      </w:pPr>
    </w:p>
    <w:p>
      <w:pPr>
        <w:autoSpaceDE w:val="0"/>
        <w:autoSpaceDN w:val="0"/>
        <w:adjustRightInd w:val="0"/>
        <w:rPr>
          <w:rFonts w:cs="Arial"/>
          <w:u w:val="single"/>
        </w:rPr>
      </w:pPr>
      <w:r>
        <w:rPr>
          <w:rFonts w:cs="Arial"/>
          <w:b/>
          <w:bCs/>
          <w:u w:val="single"/>
        </w:rPr>
        <w:t>XVI. Bietergemeinschaften</w:t>
      </w:r>
    </w:p>
    <w:p>
      <w:pPr>
        <w:widowControl w:val="0"/>
        <w:autoSpaceDE w:val="0"/>
        <w:autoSpaceDN w:val="0"/>
        <w:adjustRightInd w:val="0"/>
        <w:spacing w:before="3"/>
        <w:ind w:right="-17"/>
        <w:jc w:val="both"/>
        <w:rPr>
          <w:rFonts w:cs="Arial"/>
        </w:rPr>
      </w:pPr>
    </w:p>
    <w:p>
      <w:pPr>
        <w:widowControl w:val="0"/>
        <w:autoSpaceDE w:val="0"/>
        <w:autoSpaceDN w:val="0"/>
        <w:adjustRightInd w:val="0"/>
        <w:spacing w:before="3" w:after="120" w:line="230" w:lineRule="exact"/>
        <w:ind w:right="-17"/>
        <w:jc w:val="both"/>
        <w:rPr>
          <w:rFonts w:cs="Arial"/>
        </w:rPr>
      </w:pPr>
      <w:r>
        <w:rPr>
          <w:rFonts w:cs="Arial"/>
        </w:rPr>
        <w:t>Bietergemeinschaften haben mit Abgabe des Angebotes die einzelnen Mitglieder der Bietergemeinschaft sowie eines ihrer Mitglieder als bevollmächtigte/n Vertreter/in zu benennen.</w:t>
      </w:r>
    </w:p>
    <w:p>
      <w:pPr>
        <w:widowControl w:val="0"/>
        <w:autoSpaceDE w:val="0"/>
        <w:autoSpaceDN w:val="0"/>
        <w:adjustRightInd w:val="0"/>
        <w:spacing w:after="120" w:line="230" w:lineRule="exact"/>
        <w:ind w:right="-17"/>
        <w:jc w:val="both"/>
        <w:rPr>
          <w:rFonts w:cs="Arial"/>
        </w:rPr>
      </w:pPr>
      <w:r>
        <w:rPr>
          <w:rFonts w:cs="Arial"/>
        </w:rPr>
        <w:t>Weiterhin haben alle Mitglieder der Bietergemeinschaft dem/der bevollmächtigten Vertreter/in Vertretungsmacht im Rahmen dieses Vergabeverfahrens einzuräumen, insbesondere hinsichtlich der rechtsverbindlichen Abgabe des Angebotes, der Abgabe und Entgegennahme von Erklärungen sowie der Vornahme von Verfahrenshandlungen. Des Weiteren ist gemeinsam zu erklären, dass alle Mitglieder der Bietergemeinschaft für die Vertragserfüllung und etwaige Schadenersatzansprüche gesamtschuldnerisch haften (siehe beiliegenden Vordruck I „Angaben des Bieters/der Bietergemeinschaft“); diese Erklärung ist von vertretungsbefugten Personen jedes Mitglieds der Bietergemeinschaft rechtsverbindlich zu unterzeichnen.</w:t>
      </w:r>
    </w:p>
    <w:p>
      <w:pPr>
        <w:widowControl w:val="0"/>
        <w:autoSpaceDE w:val="0"/>
        <w:autoSpaceDN w:val="0"/>
        <w:adjustRightInd w:val="0"/>
        <w:spacing w:before="1" w:line="230" w:lineRule="exact"/>
        <w:ind w:right="-18"/>
        <w:jc w:val="both"/>
        <w:rPr>
          <w:rFonts w:cs="Arial"/>
        </w:rPr>
      </w:pPr>
      <w:r>
        <w:rPr>
          <w:rFonts w:cs="Arial"/>
        </w:rPr>
        <w:t>Es sind die Leistungsteile zu bezeichnen, die von den jeweiligen Mitgliedern der Bietergemeinschaft erbracht werden. Die Mitglieder der Bietergemeinschaft sind verpflichtet, die geforderten Eignungsnachweise für den übernommenen Leistungsteil zu erbringen.</w:t>
      </w:r>
    </w:p>
    <w:p>
      <w:pPr>
        <w:widowControl w:val="0"/>
        <w:autoSpaceDE w:val="0"/>
        <w:autoSpaceDN w:val="0"/>
        <w:adjustRightInd w:val="0"/>
        <w:spacing w:before="11" w:line="220" w:lineRule="exact"/>
        <w:rPr>
          <w:rFonts w:cs="Arial"/>
        </w:rPr>
      </w:pPr>
    </w:p>
    <w:p>
      <w:pPr>
        <w:widowControl w:val="0"/>
        <w:autoSpaceDE w:val="0"/>
        <w:autoSpaceDN w:val="0"/>
        <w:adjustRightInd w:val="0"/>
        <w:spacing w:before="33" w:after="120"/>
        <w:ind w:right="-23"/>
        <w:rPr>
          <w:rFonts w:cs="Arial"/>
        </w:rPr>
      </w:pPr>
      <w:r>
        <w:rPr>
          <w:rFonts w:cs="Arial"/>
          <w:spacing w:val="-1"/>
        </w:rPr>
        <w:t>E</w:t>
      </w:r>
      <w:r>
        <w:rPr>
          <w:rFonts w:cs="Arial"/>
        </w:rPr>
        <w:t>s</w:t>
      </w:r>
      <w:r>
        <w:rPr>
          <w:rFonts w:cs="Arial"/>
          <w:spacing w:val="-1"/>
        </w:rPr>
        <w:t xml:space="preserve"> </w:t>
      </w:r>
      <w:r>
        <w:rPr>
          <w:rFonts w:cs="Arial"/>
        </w:rPr>
        <w:t>g</w:t>
      </w:r>
      <w:r>
        <w:rPr>
          <w:rFonts w:cs="Arial"/>
          <w:spacing w:val="1"/>
        </w:rPr>
        <w:t>i</w:t>
      </w:r>
      <w:r>
        <w:rPr>
          <w:rFonts w:cs="Arial"/>
        </w:rPr>
        <w:t>bt</w:t>
      </w:r>
      <w:r>
        <w:rPr>
          <w:rFonts w:cs="Arial"/>
          <w:spacing w:val="-3"/>
        </w:rPr>
        <w:t xml:space="preserve"> </w:t>
      </w:r>
      <w:r>
        <w:rPr>
          <w:rFonts w:cs="Arial"/>
          <w:spacing w:val="4"/>
        </w:rPr>
        <w:t>k</w:t>
      </w:r>
      <w:r>
        <w:rPr>
          <w:rFonts w:cs="Arial"/>
        </w:rPr>
        <w:t>e</w:t>
      </w:r>
      <w:r>
        <w:rPr>
          <w:rFonts w:cs="Arial"/>
          <w:spacing w:val="-1"/>
        </w:rPr>
        <w:t>i</w:t>
      </w:r>
      <w:r>
        <w:rPr>
          <w:rFonts w:cs="Arial"/>
        </w:rPr>
        <w:t>ne</w:t>
      </w:r>
      <w:r>
        <w:rPr>
          <w:rFonts w:cs="Arial"/>
          <w:spacing w:val="-3"/>
        </w:rPr>
        <w:t xml:space="preserve"> </w:t>
      </w:r>
      <w:r>
        <w:rPr>
          <w:rFonts w:cs="Arial"/>
          <w:spacing w:val="-1"/>
        </w:rPr>
        <w:t>V</w:t>
      </w:r>
      <w:r>
        <w:rPr>
          <w:rFonts w:cs="Arial"/>
        </w:rPr>
        <w:t>o</w:t>
      </w:r>
      <w:r>
        <w:rPr>
          <w:rFonts w:cs="Arial"/>
          <w:spacing w:val="1"/>
        </w:rPr>
        <w:t>r</w:t>
      </w:r>
      <w:r>
        <w:rPr>
          <w:rFonts w:cs="Arial"/>
          <w:spacing w:val="2"/>
        </w:rPr>
        <w:t>g</w:t>
      </w:r>
      <w:r>
        <w:rPr>
          <w:rFonts w:cs="Arial"/>
        </w:rPr>
        <w:t>ab</w:t>
      </w:r>
      <w:r>
        <w:rPr>
          <w:rFonts w:cs="Arial"/>
          <w:spacing w:val="2"/>
        </w:rPr>
        <w:t>e</w:t>
      </w:r>
      <w:r>
        <w:rPr>
          <w:rFonts w:cs="Arial"/>
        </w:rPr>
        <w:t>n</w:t>
      </w:r>
      <w:r>
        <w:rPr>
          <w:rFonts w:cs="Arial"/>
          <w:spacing w:val="-10"/>
        </w:rPr>
        <w:t xml:space="preserve"> </w:t>
      </w:r>
      <w:r>
        <w:rPr>
          <w:rFonts w:cs="Arial"/>
          <w:spacing w:val="2"/>
        </w:rPr>
        <w:t>üb</w:t>
      </w:r>
      <w:r>
        <w:rPr>
          <w:rFonts w:cs="Arial"/>
        </w:rPr>
        <w:t>er</w:t>
      </w:r>
      <w:r>
        <w:rPr>
          <w:rFonts w:cs="Arial"/>
          <w:spacing w:val="-4"/>
        </w:rPr>
        <w:t xml:space="preserve"> </w:t>
      </w:r>
      <w:r>
        <w:rPr>
          <w:rFonts w:cs="Arial"/>
        </w:rPr>
        <w:t>d</w:t>
      </w:r>
      <w:r>
        <w:rPr>
          <w:rFonts w:cs="Arial"/>
          <w:spacing w:val="-1"/>
        </w:rPr>
        <w:t>i</w:t>
      </w:r>
      <w:r>
        <w:rPr>
          <w:rFonts w:cs="Arial"/>
        </w:rPr>
        <w:t>e</w:t>
      </w:r>
      <w:r>
        <w:rPr>
          <w:rFonts w:cs="Arial"/>
          <w:spacing w:val="-1"/>
        </w:rPr>
        <w:t xml:space="preserve"> </w:t>
      </w:r>
      <w:r>
        <w:rPr>
          <w:rFonts w:cs="Arial"/>
        </w:rPr>
        <w:t>Re</w:t>
      </w:r>
      <w:r>
        <w:rPr>
          <w:rFonts w:cs="Arial"/>
          <w:spacing w:val="1"/>
        </w:rPr>
        <w:t>c</w:t>
      </w:r>
      <w:r>
        <w:rPr>
          <w:rFonts w:cs="Arial"/>
        </w:rPr>
        <w:t>ht</w:t>
      </w:r>
      <w:r>
        <w:rPr>
          <w:rFonts w:cs="Arial"/>
          <w:spacing w:val="1"/>
        </w:rPr>
        <w:t>s</w:t>
      </w:r>
      <w:r>
        <w:rPr>
          <w:rFonts w:cs="Arial"/>
          <w:spacing w:val="2"/>
        </w:rPr>
        <w:t>f</w:t>
      </w:r>
      <w:r>
        <w:rPr>
          <w:rFonts w:cs="Arial"/>
        </w:rPr>
        <w:t>o</w:t>
      </w:r>
      <w:r>
        <w:rPr>
          <w:rFonts w:cs="Arial"/>
          <w:spacing w:val="1"/>
        </w:rPr>
        <w:t>r</w:t>
      </w:r>
      <w:r>
        <w:rPr>
          <w:rFonts w:cs="Arial"/>
        </w:rPr>
        <w:t>m</w:t>
      </w:r>
      <w:r>
        <w:rPr>
          <w:rFonts w:cs="Arial"/>
          <w:spacing w:val="-6"/>
        </w:rPr>
        <w:t xml:space="preserve"> </w:t>
      </w:r>
      <w:r>
        <w:rPr>
          <w:rFonts w:cs="Arial"/>
        </w:rPr>
        <w:t>der</w:t>
      </w:r>
      <w:r>
        <w:rPr>
          <w:rFonts w:cs="Arial"/>
          <w:spacing w:val="-3"/>
        </w:rPr>
        <w:t xml:space="preserve"> </w:t>
      </w:r>
      <w:r>
        <w:rPr>
          <w:rFonts w:cs="Arial"/>
          <w:spacing w:val="-1"/>
        </w:rPr>
        <w:t>Bi</w:t>
      </w:r>
      <w:r>
        <w:rPr>
          <w:rFonts w:cs="Arial"/>
        </w:rPr>
        <w:t>et</w:t>
      </w:r>
      <w:r>
        <w:rPr>
          <w:rFonts w:cs="Arial"/>
          <w:spacing w:val="2"/>
        </w:rPr>
        <w:t>e</w:t>
      </w:r>
      <w:r>
        <w:rPr>
          <w:rFonts w:cs="Arial"/>
          <w:spacing w:val="1"/>
        </w:rPr>
        <w:t>r</w:t>
      </w:r>
      <w:r>
        <w:rPr>
          <w:rFonts w:cs="Arial"/>
        </w:rPr>
        <w:t>ge</w:t>
      </w:r>
      <w:r>
        <w:rPr>
          <w:rFonts w:cs="Arial"/>
          <w:spacing w:val="5"/>
        </w:rPr>
        <w:t>m</w:t>
      </w:r>
      <w:r>
        <w:rPr>
          <w:rFonts w:cs="Arial"/>
        </w:rPr>
        <w:t>e</w:t>
      </w:r>
      <w:r>
        <w:rPr>
          <w:rFonts w:cs="Arial"/>
          <w:spacing w:val="-1"/>
        </w:rPr>
        <w:t>i</w:t>
      </w:r>
      <w:r>
        <w:rPr>
          <w:rFonts w:cs="Arial"/>
        </w:rPr>
        <w:t>n</w:t>
      </w:r>
      <w:r>
        <w:rPr>
          <w:rFonts w:cs="Arial"/>
          <w:spacing w:val="1"/>
        </w:rPr>
        <w:t>sc</w:t>
      </w:r>
      <w:r>
        <w:rPr>
          <w:rFonts w:cs="Arial"/>
        </w:rPr>
        <w:t>ha</w:t>
      </w:r>
      <w:r>
        <w:rPr>
          <w:rFonts w:cs="Arial"/>
          <w:spacing w:val="2"/>
        </w:rPr>
        <w:t>f</w:t>
      </w:r>
      <w:r>
        <w:rPr>
          <w:rFonts w:cs="Arial"/>
        </w:rPr>
        <w:t>t.</w:t>
      </w:r>
    </w:p>
    <w:p>
      <w:pPr>
        <w:widowControl w:val="0"/>
        <w:autoSpaceDE w:val="0"/>
        <w:autoSpaceDN w:val="0"/>
        <w:adjustRightInd w:val="0"/>
        <w:ind w:right="-18"/>
        <w:jc w:val="both"/>
        <w:rPr>
          <w:rFonts w:cs="Arial"/>
        </w:rPr>
      </w:pPr>
      <w:r>
        <w:rPr>
          <w:rFonts w:cs="Arial"/>
        </w:rPr>
        <w:t>Im</w:t>
      </w:r>
      <w:r>
        <w:rPr>
          <w:rFonts w:cs="Arial"/>
          <w:spacing w:val="2"/>
        </w:rPr>
        <w:t xml:space="preserve"> </w:t>
      </w:r>
      <w:r>
        <w:rPr>
          <w:rFonts w:cs="Arial"/>
          <w:spacing w:val="-1"/>
        </w:rPr>
        <w:t>A</w:t>
      </w:r>
      <w:r>
        <w:rPr>
          <w:rFonts w:cs="Arial"/>
        </w:rPr>
        <w:t>u</w:t>
      </w:r>
      <w:r>
        <w:rPr>
          <w:rFonts w:cs="Arial"/>
          <w:spacing w:val="2"/>
        </w:rPr>
        <w:t>f</w:t>
      </w:r>
      <w:r>
        <w:rPr>
          <w:rFonts w:cs="Arial"/>
        </w:rPr>
        <w:t>t</w:t>
      </w:r>
      <w:r>
        <w:rPr>
          <w:rFonts w:cs="Arial"/>
          <w:spacing w:val="1"/>
        </w:rPr>
        <w:t>r</w:t>
      </w:r>
      <w:r>
        <w:rPr>
          <w:rFonts w:cs="Arial"/>
        </w:rPr>
        <w:t>ag</w:t>
      </w:r>
      <w:r>
        <w:rPr>
          <w:rFonts w:cs="Arial"/>
          <w:spacing w:val="-1"/>
        </w:rPr>
        <w:t>s</w:t>
      </w:r>
      <w:r>
        <w:rPr>
          <w:rFonts w:cs="Arial"/>
          <w:spacing w:val="2"/>
        </w:rPr>
        <w:t>f</w:t>
      </w:r>
      <w:r>
        <w:rPr>
          <w:rFonts w:cs="Arial"/>
        </w:rPr>
        <w:t>a</w:t>
      </w:r>
      <w:r>
        <w:rPr>
          <w:rFonts w:cs="Arial"/>
          <w:spacing w:val="-1"/>
        </w:rPr>
        <w:t>l</w:t>
      </w:r>
      <w:r>
        <w:rPr>
          <w:rFonts w:cs="Arial"/>
        </w:rPr>
        <w:t>l</w:t>
      </w:r>
      <w:r>
        <w:rPr>
          <w:rFonts w:cs="Arial"/>
          <w:spacing w:val="-11"/>
        </w:rPr>
        <w:t xml:space="preserve"> </w:t>
      </w:r>
      <w:r>
        <w:rPr>
          <w:rFonts w:cs="Arial"/>
        </w:rPr>
        <w:t>h</w:t>
      </w:r>
      <w:r>
        <w:rPr>
          <w:rFonts w:cs="Arial"/>
          <w:spacing w:val="2"/>
        </w:rPr>
        <w:t>a</w:t>
      </w:r>
      <w:r>
        <w:rPr>
          <w:rFonts w:cs="Arial"/>
        </w:rPr>
        <w:t>t</w:t>
      </w:r>
      <w:r>
        <w:rPr>
          <w:rFonts w:cs="Arial"/>
          <w:spacing w:val="-3"/>
        </w:rPr>
        <w:t xml:space="preserve"> </w:t>
      </w:r>
      <w:r>
        <w:rPr>
          <w:rFonts w:cs="Arial"/>
          <w:spacing w:val="1"/>
        </w:rPr>
        <w:t>s</w:t>
      </w:r>
      <w:r>
        <w:rPr>
          <w:rFonts w:cs="Arial"/>
          <w:spacing w:val="-1"/>
        </w:rPr>
        <w:t>i</w:t>
      </w:r>
      <w:r>
        <w:rPr>
          <w:rFonts w:cs="Arial"/>
          <w:spacing w:val="1"/>
        </w:rPr>
        <w:t>c</w:t>
      </w:r>
      <w:r>
        <w:rPr>
          <w:rFonts w:cs="Arial"/>
        </w:rPr>
        <w:t>h</w:t>
      </w:r>
      <w:r>
        <w:rPr>
          <w:rFonts w:cs="Arial"/>
          <w:spacing w:val="-2"/>
        </w:rPr>
        <w:t xml:space="preserve"> </w:t>
      </w:r>
      <w:r>
        <w:rPr>
          <w:rFonts w:cs="Arial"/>
        </w:rPr>
        <w:t>d</w:t>
      </w:r>
      <w:r>
        <w:rPr>
          <w:rFonts w:cs="Arial"/>
          <w:spacing w:val="-1"/>
        </w:rPr>
        <w:t>i</w:t>
      </w:r>
      <w:r>
        <w:rPr>
          <w:rFonts w:cs="Arial"/>
        </w:rPr>
        <w:t>e</w:t>
      </w:r>
      <w:r>
        <w:rPr>
          <w:rFonts w:cs="Arial"/>
          <w:spacing w:val="1"/>
        </w:rPr>
        <w:t xml:space="preserve"> </w:t>
      </w:r>
      <w:r>
        <w:rPr>
          <w:rFonts w:cs="Arial"/>
          <w:spacing w:val="-1"/>
        </w:rPr>
        <w:t>Bi</w:t>
      </w:r>
      <w:r>
        <w:rPr>
          <w:rFonts w:cs="Arial"/>
          <w:spacing w:val="2"/>
        </w:rPr>
        <w:t>e</w:t>
      </w:r>
      <w:r>
        <w:rPr>
          <w:rFonts w:cs="Arial"/>
        </w:rPr>
        <w:t>te</w:t>
      </w:r>
      <w:r>
        <w:rPr>
          <w:rFonts w:cs="Arial"/>
          <w:spacing w:val="1"/>
        </w:rPr>
        <w:t>r</w:t>
      </w:r>
      <w:r>
        <w:rPr>
          <w:rFonts w:cs="Arial"/>
        </w:rPr>
        <w:t>ge</w:t>
      </w:r>
      <w:r>
        <w:rPr>
          <w:rFonts w:cs="Arial"/>
          <w:spacing w:val="5"/>
        </w:rPr>
        <w:t>m</w:t>
      </w:r>
      <w:r>
        <w:rPr>
          <w:rFonts w:cs="Arial"/>
        </w:rPr>
        <w:t>e</w:t>
      </w:r>
      <w:r>
        <w:rPr>
          <w:rFonts w:cs="Arial"/>
          <w:spacing w:val="-1"/>
        </w:rPr>
        <w:t>i</w:t>
      </w:r>
      <w:r>
        <w:rPr>
          <w:rFonts w:cs="Arial"/>
        </w:rPr>
        <w:t>n</w:t>
      </w:r>
      <w:r>
        <w:rPr>
          <w:rFonts w:cs="Arial"/>
          <w:spacing w:val="1"/>
        </w:rPr>
        <w:t>sc</w:t>
      </w:r>
      <w:r>
        <w:rPr>
          <w:rFonts w:cs="Arial"/>
        </w:rPr>
        <w:t>ha</w:t>
      </w:r>
      <w:r>
        <w:rPr>
          <w:rFonts w:cs="Arial"/>
          <w:spacing w:val="2"/>
        </w:rPr>
        <w:t>f</w:t>
      </w:r>
      <w:r>
        <w:rPr>
          <w:rFonts w:cs="Arial"/>
        </w:rPr>
        <w:t>t</w:t>
      </w:r>
      <w:r>
        <w:rPr>
          <w:rFonts w:cs="Arial"/>
          <w:spacing w:val="-15"/>
        </w:rPr>
        <w:t xml:space="preserve"> </w:t>
      </w:r>
      <w:r>
        <w:rPr>
          <w:rFonts w:cs="Arial"/>
          <w:spacing w:val="-1"/>
        </w:rPr>
        <w:t>z</w:t>
      </w:r>
      <w:r>
        <w:rPr>
          <w:rFonts w:cs="Arial"/>
        </w:rPr>
        <w:t>u</w:t>
      </w:r>
      <w:r>
        <w:rPr>
          <w:rFonts w:cs="Arial"/>
          <w:spacing w:val="-3"/>
        </w:rPr>
        <w:t xml:space="preserve"> </w:t>
      </w:r>
      <w:r>
        <w:rPr>
          <w:rFonts w:cs="Arial"/>
          <w:spacing w:val="2"/>
        </w:rPr>
        <w:t>e</w:t>
      </w:r>
      <w:r>
        <w:rPr>
          <w:rFonts w:cs="Arial"/>
          <w:spacing w:val="-1"/>
        </w:rPr>
        <w:t>i</w:t>
      </w:r>
      <w:r>
        <w:rPr>
          <w:rFonts w:cs="Arial"/>
        </w:rPr>
        <w:t>n</w:t>
      </w:r>
      <w:r>
        <w:rPr>
          <w:rFonts w:cs="Arial"/>
          <w:spacing w:val="2"/>
        </w:rPr>
        <w:t>e</w:t>
      </w:r>
      <w:r>
        <w:rPr>
          <w:rFonts w:cs="Arial"/>
        </w:rPr>
        <w:t>r</w:t>
      </w:r>
      <w:r>
        <w:rPr>
          <w:rFonts w:cs="Arial"/>
          <w:spacing w:val="-4"/>
        </w:rPr>
        <w:t xml:space="preserve"> </w:t>
      </w:r>
      <w:r>
        <w:rPr>
          <w:rFonts w:cs="Arial"/>
          <w:spacing w:val="-1"/>
        </w:rPr>
        <w:t>A</w:t>
      </w:r>
      <w:r>
        <w:rPr>
          <w:rFonts w:cs="Arial"/>
          <w:spacing w:val="1"/>
        </w:rPr>
        <w:t>r</w:t>
      </w:r>
      <w:r>
        <w:rPr>
          <w:rFonts w:cs="Arial"/>
        </w:rPr>
        <w:t>be</w:t>
      </w:r>
      <w:r>
        <w:rPr>
          <w:rFonts w:cs="Arial"/>
          <w:spacing w:val="1"/>
        </w:rPr>
        <w:t>i</w:t>
      </w:r>
      <w:r>
        <w:rPr>
          <w:rFonts w:cs="Arial"/>
        </w:rPr>
        <w:t>t</w:t>
      </w:r>
      <w:r>
        <w:rPr>
          <w:rFonts w:cs="Arial"/>
          <w:spacing w:val="1"/>
        </w:rPr>
        <w:t>s</w:t>
      </w:r>
      <w:r>
        <w:rPr>
          <w:rFonts w:cs="Arial"/>
        </w:rPr>
        <w:t>ge</w:t>
      </w:r>
      <w:r>
        <w:rPr>
          <w:rFonts w:cs="Arial"/>
          <w:spacing w:val="5"/>
        </w:rPr>
        <w:t>m</w:t>
      </w:r>
      <w:r>
        <w:rPr>
          <w:rFonts w:cs="Arial"/>
        </w:rPr>
        <w:t>e</w:t>
      </w:r>
      <w:r>
        <w:rPr>
          <w:rFonts w:cs="Arial"/>
          <w:spacing w:val="-1"/>
        </w:rPr>
        <w:t>i</w:t>
      </w:r>
      <w:r>
        <w:rPr>
          <w:rFonts w:cs="Arial"/>
        </w:rPr>
        <w:t>n</w:t>
      </w:r>
      <w:r>
        <w:rPr>
          <w:rFonts w:cs="Arial"/>
          <w:spacing w:val="1"/>
        </w:rPr>
        <w:t>sc</w:t>
      </w:r>
      <w:r>
        <w:rPr>
          <w:rFonts w:cs="Arial"/>
        </w:rPr>
        <w:t>ha</w:t>
      </w:r>
      <w:r>
        <w:rPr>
          <w:rFonts w:cs="Arial"/>
          <w:spacing w:val="2"/>
        </w:rPr>
        <w:t>f</w:t>
      </w:r>
      <w:r>
        <w:rPr>
          <w:rFonts w:cs="Arial"/>
        </w:rPr>
        <w:t>t</w:t>
      </w:r>
      <w:r>
        <w:rPr>
          <w:rFonts w:cs="Arial"/>
          <w:spacing w:val="-16"/>
        </w:rPr>
        <w:t xml:space="preserve"> </w:t>
      </w:r>
      <w:r>
        <w:rPr>
          <w:rFonts w:cs="Arial"/>
          <w:spacing w:val="-4"/>
        </w:rPr>
        <w:t>z</w:t>
      </w:r>
      <w:r>
        <w:rPr>
          <w:rFonts w:cs="Arial"/>
        </w:rPr>
        <w:t>u</w:t>
      </w:r>
      <w:r>
        <w:rPr>
          <w:rFonts w:cs="Arial"/>
          <w:spacing w:val="1"/>
        </w:rPr>
        <w:t>s</w:t>
      </w:r>
      <w:r>
        <w:rPr>
          <w:rFonts w:cs="Arial"/>
          <w:spacing w:val="2"/>
        </w:rPr>
        <w:t>amm</w:t>
      </w:r>
      <w:r>
        <w:rPr>
          <w:rFonts w:cs="Arial"/>
        </w:rPr>
        <w:t>en</w:t>
      </w:r>
      <w:r>
        <w:rPr>
          <w:rFonts w:cs="Arial"/>
          <w:spacing w:val="-1"/>
        </w:rPr>
        <w:t>z</w:t>
      </w:r>
      <w:r>
        <w:rPr>
          <w:rFonts w:cs="Arial"/>
        </w:rPr>
        <w:t>u</w:t>
      </w:r>
      <w:r>
        <w:rPr>
          <w:rFonts w:cs="Arial"/>
          <w:spacing w:val="1"/>
        </w:rPr>
        <w:t>sc</w:t>
      </w:r>
      <w:r>
        <w:rPr>
          <w:rFonts w:cs="Arial"/>
        </w:rPr>
        <w:t>h</w:t>
      </w:r>
      <w:r>
        <w:rPr>
          <w:rFonts w:cs="Arial"/>
          <w:spacing w:val="-1"/>
        </w:rPr>
        <w:t>l</w:t>
      </w:r>
      <w:r>
        <w:rPr>
          <w:rFonts w:cs="Arial"/>
          <w:spacing w:val="1"/>
        </w:rPr>
        <w:t>i</w:t>
      </w:r>
      <w:r>
        <w:rPr>
          <w:rFonts w:cs="Arial"/>
        </w:rPr>
        <w:t>e</w:t>
      </w:r>
      <w:r>
        <w:rPr>
          <w:rFonts w:cs="Arial"/>
          <w:spacing w:val="1"/>
        </w:rPr>
        <w:t>ß</w:t>
      </w:r>
      <w:r>
        <w:rPr>
          <w:rFonts w:cs="Arial"/>
        </w:rPr>
        <w:t>en. D</w:t>
      </w:r>
      <w:r>
        <w:rPr>
          <w:rFonts w:cs="Arial"/>
          <w:spacing w:val="-1"/>
        </w:rPr>
        <w:t>i</w:t>
      </w:r>
      <w:r>
        <w:rPr>
          <w:rFonts w:cs="Arial"/>
        </w:rPr>
        <w:t>e</w:t>
      </w:r>
      <w:r>
        <w:rPr>
          <w:rFonts w:cs="Arial"/>
          <w:spacing w:val="-4"/>
        </w:rPr>
        <w:t xml:space="preserve"> </w:t>
      </w:r>
      <w:r>
        <w:rPr>
          <w:rFonts w:cs="Arial"/>
          <w:spacing w:val="3"/>
        </w:rPr>
        <w:t>R</w:t>
      </w:r>
      <w:r>
        <w:rPr>
          <w:rFonts w:cs="Arial"/>
        </w:rPr>
        <w:t>e</w:t>
      </w:r>
      <w:r>
        <w:rPr>
          <w:rFonts w:cs="Arial"/>
          <w:spacing w:val="1"/>
        </w:rPr>
        <w:t>c</w:t>
      </w:r>
      <w:r>
        <w:rPr>
          <w:rFonts w:cs="Arial"/>
        </w:rPr>
        <w:t>hn</w:t>
      </w:r>
      <w:r>
        <w:rPr>
          <w:rFonts w:cs="Arial"/>
          <w:spacing w:val="2"/>
        </w:rPr>
        <w:t>u</w:t>
      </w:r>
      <w:r>
        <w:rPr>
          <w:rFonts w:cs="Arial"/>
        </w:rPr>
        <w:t>ng</w:t>
      </w:r>
      <w:r>
        <w:rPr>
          <w:rFonts w:cs="Arial"/>
          <w:spacing w:val="1"/>
        </w:rPr>
        <w:t>s</w:t>
      </w:r>
      <w:r>
        <w:rPr>
          <w:rFonts w:cs="Arial"/>
        </w:rPr>
        <w:t>t</w:t>
      </w:r>
      <w:r>
        <w:rPr>
          <w:rFonts w:cs="Arial"/>
          <w:spacing w:val="2"/>
        </w:rPr>
        <w:t>e</w:t>
      </w:r>
      <w:r>
        <w:rPr>
          <w:rFonts w:cs="Arial"/>
          <w:spacing w:val="-1"/>
        </w:rPr>
        <w:t>ll</w:t>
      </w:r>
      <w:r>
        <w:rPr>
          <w:rFonts w:cs="Arial"/>
          <w:spacing w:val="2"/>
        </w:rPr>
        <w:t>u</w:t>
      </w:r>
      <w:r>
        <w:rPr>
          <w:rFonts w:cs="Arial"/>
        </w:rPr>
        <w:t>ng</w:t>
      </w:r>
      <w:r>
        <w:rPr>
          <w:rFonts w:cs="Arial"/>
          <w:spacing w:val="-15"/>
        </w:rPr>
        <w:t xml:space="preserve"> </w:t>
      </w:r>
      <w:r>
        <w:rPr>
          <w:rFonts w:cs="Arial"/>
        </w:rPr>
        <w:t>hat</w:t>
      </w:r>
      <w:r>
        <w:rPr>
          <w:rFonts w:cs="Arial"/>
          <w:spacing w:val="-1"/>
        </w:rPr>
        <w:t xml:space="preserve"> i</w:t>
      </w:r>
      <w:r>
        <w:rPr>
          <w:rFonts w:cs="Arial"/>
        </w:rPr>
        <w:t>m</w:t>
      </w:r>
      <w:r>
        <w:rPr>
          <w:rFonts w:cs="Arial"/>
          <w:spacing w:val="2"/>
        </w:rPr>
        <w:t xml:space="preserve"> </w:t>
      </w:r>
      <w:r>
        <w:rPr>
          <w:rFonts w:cs="Arial"/>
        </w:rPr>
        <w:t>N</w:t>
      </w:r>
      <w:r>
        <w:rPr>
          <w:rFonts w:cs="Arial"/>
          <w:spacing w:val="-3"/>
        </w:rPr>
        <w:t>a</w:t>
      </w:r>
      <w:r>
        <w:rPr>
          <w:rFonts w:cs="Arial"/>
          <w:spacing w:val="5"/>
        </w:rPr>
        <w:t>m</w:t>
      </w:r>
      <w:r>
        <w:rPr>
          <w:rFonts w:cs="Arial"/>
        </w:rPr>
        <w:t>en</w:t>
      </w:r>
      <w:r>
        <w:rPr>
          <w:rFonts w:cs="Arial"/>
          <w:spacing w:val="-7"/>
        </w:rPr>
        <w:t xml:space="preserve"> </w:t>
      </w:r>
      <w:r>
        <w:rPr>
          <w:rFonts w:cs="Arial"/>
        </w:rPr>
        <w:t>der</w:t>
      </w:r>
      <w:r>
        <w:rPr>
          <w:rFonts w:cs="Arial"/>
          <w:spacing w:val="-3"/>
        </w:rPr>
        <w:t xml:space="preserve"> </w:t>
      </w:r>
      <w:r>
        <w:rPr>
          <w:rFonts w:cs="Arial"/>
          <w:spacing w:val="2"/>
        </w:rPr>
        <w:t>B</w:t>
      </w:r>
      <w:r>
        <w:rPr>
          <w:rFonts w:cs="Arial"/>
          <w:spacing w:val="-1"/>
        </w:rPr>
        <w:t>i</w:t>
      </w:r>
      <w:r>
        <w:rPr>
          <w:rFonts w:cs="Arial"/>
        </w:rPr>
        <w:t>ete</w:t>
      </w:r>
      <w:r>
        <w:rPr>
          <w:rFonts w:cs="Arial"/>
          <w:spacing w:val="3"/>
        </w:rPr>
        <w:t>r</w:t>
      </w:r>
      <w:r>
        <w:rPr>
          <w:rFonts w:cs="Arial"/>
        </w:rPr>
        <w:t>ge</w:t>
      </w:r>
      <w:r>
        <w:rPr>
          <w:rFonts w:cs="Arial"/>
          <w:spacing w:val="5"/>
        </w:rPr>
        <w:t>m</w:t>
      </w:r>
      <w:r>
        <w:rPr>
          <w:rFonts w:cs="Arial"/>
        </w:rPr>
        <w:t>e</w:t>
      </w:r>
      <w:r>
        <w:rPr>
          <w:rFonts w:cs="Arial"/>
          <w:spacing w:val="-1"/>
        </w:rPr>
        <w:t>i</w:t>
      </w:r>
      <w:r>
        <w:rPr>
          <w:rFonts w:cs="Arial"/>
        </w:rPr>
        <w:t>n</w:t>
      </w:r>
      <w:r>
        <w:rPr>
          <w:rFonts w:cs="Arial"/>
          <w:spacing w:val="1"/>
        </w:rPr>
        <w:t>sc</w:t>
      </w:r>
      <w:r>
        <w:rPr>
          <w:rFonts w:cs="Arial"/>
        </w:rPr>
        <w:t>ha</w:t>
      </w:r>
      <w:r>
        <w:rPr>
          <w:rFonts w:cs="Arial"/>
          <w:spacing w:val="2"/>
        </w:rPr>
        <w:t>f</w:t>
      </w:r>
      <w:r>
        <w:rPr>
          <w:rFonts w:cs="Arial"/>
        </w:rPr>
        <w:t>t</w:t>
      </w:r>
      <w:r>
        <w:rPr>
          <w:rFonts w:cs="Arial"/>
          <w:spacing w:val="-15"/>
        </w:rPr>
        <w:t xml:space="preserve"> </w:t>
      </w:r>
      <w:r>
        <w:rPr>
          <w:rFonts w:cs="Arial"/>
          <w:spacing w:val="-4"/>
        </w:rPr>
        <w:t>z</w:t>
      </w:r>
      <w:r>
        <w:rPr>
          <w:rFonts w:cs="Arial"/>
        </w:rPr>
        <w:t>u</w:t>
      </w:r>
      <w:r>
        <w:rPr>
          <w:rFonts w:cs="Arial"/>
          <w:spacing w:val="-3"/>
        </w:rPr>
        <w:t xml:space="preserve"> </w:t>
      </w:r>
      <w:r>
        <w:rPr>
          <w:rFonts w:cs="Arial"/>
        </w:rPr>
        <w:t>e</w:t>
      </w:r>
      <w:r>
        <w:rPr>
          <w:rFonts w:cs="Arial"/>
          <w:spacing w:val="1"/>
        </w:rPr>
        <w:t>r</w:t>
      </w:r>
      <w:r>
        <w:rPr>
          <w:rFonts w:cs="Arial"/>
          <w:spacing w:val="2"/>
        </w:rPr>
        <w:t>f</w:t>
      </w:r>
      <w:r>
        <w:rPr>
          <w:rFonts w:cs="Arial"/>
        </w:rPr>
        <w:t>o</w:t>
      </w:r>
      <w:r>
        <w:rPr>
          <w:rFonts w:cs="Arial"/>
          <w:spacing w:val="-1"/>
        </w:rPr>
        <w:t>l</w:t>
      </w:r>
      <w:r>
        <w:rPr>
          <w:rFonts w:cs="Arial"/>
          <w:spacing w:val="2"/>
        </w:rPr>
        <w:t>g</w:t>
      </w:r>
      <w:r>
        <w:rPr>
          <w:rFonts w:cs="Arial"/>
        </w:rPr>
        <w:t xml:space="preserve">en. </w:t>
      </w:r>
      <w:r>
        <w:rPr>
          <w:rFonts w:cs="Arial"/>
          <w:position w:val="-1"/>
        </w:rPr>
        <w:t>D</w:t>
      </w:r>
      <w:r>
        <w:rPr>
          <w:rFonts w:cs="Arial"/>
          <w:spacing w:val="-1"/>
          <w:position w:val="-1"/>
        </w:rPr>
        <w:t>i</w:t>
      </w:r>
      <w:r>
        <w:rPr>
          <w:rFonts w:cs="Arial"/>
          <w:position w:val="-1"/>
        </w:rPr>
        <w:t>e</w:t>
      </w:r>
      <w:r>
        <w:rPr>
          <w:rFonts w:cs="Arial"/>
          <w:spacing w:val="-4"/>
          <w:position w:val="-1"/>
        </w:rPr>
        <w:t xml:space="preserve"> </w:t>
      </w:r>
      <w:r>
        <w:rPr>
          <w:rFonts w:cs="Arial"/>
          <w:spacing w:val="3"/>
          <w:position w:val="-1"/>
        </w:rPr>
        <w:t>R</w:t>
      </w:r>
      <w:r>
        <w:rPr>
          <w:rFonts w:cs="Arial"/>
          <w:position w:val="-1"/>
        </w:rPr>
        <w:t>e</w:t>
      </w:r>
      <w:r>
        <w:rPr>
          <w:rFonts w:cs="Arial"/>
          <w:spacing w:val="1"/>
          <w:position w:val="-1"/>
        </w:rPr>
        <w:t>c</w:t>
      </w:r>
      <w:r>
        <w:rPr>
          <w:rFonts w:cs="Arial"/>
          <w:position w:val="-1"/>
        </w:rPr>
        <w:t>hn</w:t>
      </w:r>
      <w:r>
        <w:rPr>
          <w:rFonts w:cs="Arial"/>
          <w:spacing w:val="2"/>
          <w:position w:val="-1"/>
        </w:rPr>
        <w:t>u</w:t>
      </w:r>
      <w:r>
        <w:rPr>
          <w:rFonts w:cs="Arial"/>
          <w:position w:val="-1"/>
        </w:rPr>
        <w:t>ng</w:t>
      </w:r>
      <w:r>
        <w:rPr>
          <w:rFonts w:cs="Arial"/>
          <w:spacing w:val="-7"/>
          <w:position w:val="-1"/>
        </w:rPr>
        <w:t xml:space="preserve"> </w:t>
      </w:r>
      <w:r>
        <w:rPr>
          <w:rFonts w:cs="Arial"/>
          <w:spacing w:val="-1"/>
          <w:position w:val="-1"/>
        </w:rPr>
        <w:t>i</w:t>
      </w:r>
      <w:r>
        <w:rPr>
          <w:rFonts w:cs="Arial"/>
          <w:spacing w:val="1"/>
          <w:position w:val="-1"/>
        </w:rPr>
        <w:t>s</w:t>
      </w:r>
      <w:r>
        <w:rPr>
          <w:rFonts w:cs="Arial"/>
          <w:position w:val="-1"/>
        </w:rPr>
        <w:t>t</w:t>
      </w:r>
      <w:r>
        <w:rPr>
          <w:rFonts w:cs="Arial"/>
          <w:spacing w:val="-2"/>
          <w:position w:val="-1"/>
        </w:rPr>
        <w:t xml:space="preserve"> </w:t>
      </w:r>
      <w:r>
        <w:rPr>
          <w:rFonts w:cs="Arial"/>
          <w:spacing w:val="1"/>
          <w:position w:val="-1"/>
        </w:rPr>
        <w:t>v</w:t>
      </w:r>
      <w:r>
        <w:rPr>
          <w:rFonts w:cs="Arial"/>
          <w:position w:val="-1"/>
        </w:rPr>
        <w:t xml:space="preserve">on der/dem </w:t>
      </w:r>
      <w:r>
        <w:rPr>
          <w:rFonts w:cs="Arial"/>
          <w:spacing w:val="-1"/>
          <w:position w:val="-1"/>
        </w:rPr>
        <w:t>B</w:t>
      </w:r>
      <w:r>
        <w:rPr>
          <w:rFonts w:cs="Arial"/>
          <w:position w:val="-1"/>
        </w:rPr>
        <w:t>e</w:t>
      </w:r>
      <w:r>
        <w:rPr>
          <w:rFonts w:cs="Arial"/>
          <w:spacing w:val="1"/>
          <w:position w:val="-1"/>
        </w:rPr>
        <w:t>v</w:t>
      </w:r>
      <w:r>
        <w:rPr>
          <w:rFonts w:cs="Arial"/>
          <w:position w:val="-1"/>
        </w:rPr>
        <w:t>o</w:t>
      </w:r>
      <w:r>
        <w:rPr>
          <w:rFonts w:cs="Arial"/>
          <w:spacing w:val="-1"/>
          <w:position w:val="-1"/>
        </w:rPr>
        <w:t>ll</w:t>
      </w:r>
      <w:r>
        <w:rPr>
          <w:rFonts w:cs="Arial"/>
          <w:spacing w:val="5"/>
          <w:position w:val="-1"/>
        </w:rPr>
        <w:t>m</w:t>
      </w:r>
      <w:r>
        <w:rPr>
          <w:rFonts w:cs="Arial"/>
          <w:position w:val="-1"/>
        </w:rPr>
        <w:t>ä</w:t>
      </w:r>
      <w:r>
        <w:rPr>
          <w:rFonts w:cs="Arial"/>
          <w:spacing w:val="1"/>
          <w:position w:val="-1"/>
        </w:rPr>
        <w:t>c</w:t>
      </w:r>
      <w:r>
        <w:rPr>
          <w:rFonts w:cs="Arial"/>
          <w:position w:val="-1"/>
        </w:rPr>
        <w:t>ht</w:t>
      </w:r>
      <w:r>
        <w:rPr>
          <w:rFonts w:cs="Arial"/>
          <w:spacing w:val="-1"/>
          <w:position w:val="-1"/>
        </w:rPr>
        <w:t>i</w:t>
      </w:r>
      <w:r>
        <w:rPr>
          <w:rFonts w:cs="Arial"/>
          <w:position w:val="-1"/>
        </w:rPr>
        <w:t>g</w:t>
      </w:r>
      <w:r>
        <w:rPr>
          <w:rFonts w:cs="Arial"/>
          <w:spacing w:val="2"/>
          <w:position w:val="-1"/>
        </w:rPr>
        <w:t>t</w:t>
      </w:r>
      <w:r>
        <w:rPr>
          <w:rFonts w:cs="Arial"/>
          <w:position w:val="-1"/>
        </w:rPr>
        <w:t>en</w:t>
      </w:r>
      <w:r>
        <w:rPr>
          <w:rFonts w:cs="Arial"/>
          <w:spacing w:val="-13"/>
          <w:position w:val="-1"/>
        </w:rPr>
        <w:t xml:space="preserve"> </w:t>
      </w:r>
      <w:r>
        <w:rPr>
          <w:rFonts w:cs="Arial"/>
          <w:position w:val="-1"/>
        </w:rPr>
        <w:t>der</w:t>
      </w:r>
      <w:r>
        <w:rPr>
          <w:rFonts w:cs="Arial"/>
          <w:spacing w:val="-3"/>
          <w:position w:val="-1"/>
        </w:rPr>
        <w:t xml:space="preserve"> </w:t>
      </w:r>
      <w:r>
        <w:rPr>
          <w:rFonts w:cs="Arial"/>
          <w:spacing w:val="2"/>
          <w:position w:val="-1"/>
        </w:rPr>
        <w:t>B</w:t>
      </w:r>
      <w:r>
        <w:rPr>
          <w:rFonts w:cs="Arial"/>
          <w:spacing w:val="-1"/>
          <w:position w:val="-1"/>
        </w:rPr>
        <w:t>i</w:t>
      </w:r>
      <w:r>
        <w:rPr>
          <w:rFonts w:cs="Arial"/>
          <w:position w:val="-1"/>
        </w:rPr>
        <w:t>e</w:t>
      </w:r>
      <w:r>
        <w:rPr>
          <w:rFonts w:cs="Arial"/>
          <w:spacing w:val="2"/>
          <w:position w:val="-1"/>
        </w:rPr>
        <w:t>t</w:t>
      </w:r>
      <w:r>
        <w:rPr>
          <w:rFonts w:cs="Arial"/>
          <w:position w:val="-1"/>
        </w:rPr>
        <w:t>e</w:t>
      </w:r>
      <w:r>
        <w:rPr>
          <w:rFonts w:cs="Arial"/>
          <w:spacing w:val="1"/>
          <w:position w:val="-1"/>
        </w:rPr>
        <w:t>r</w:t>
      </w:r>
      <w:r>
        <w:rPr>
          <w:rFonts w:cs="Arial"/>
          <w:position w:val="-1"/>
        </w:rPr>
        <w:t>g</w:t>
      </w:r>
      <w:r>
        <w:rPr>
          <w:rFonts w:cs="Arial"/>
          <w:spacing w:val="2"/>
          <w:position w:val="-1"/>
        </w:rPr>
        <w:t>e</w:t>
      </w:r>
      <w:r>
        <w:rPr>
          <w:rFonts w:cs="Arial"/>
          <w:spacing w:val="5"/>
          <w:position w:val="-1"/>
        </w:rPr>
        <w:t>m</w:t>
      </w:r>
      <w:r>
        <w:rPr>
          <w:rFonts w:cs="Arial"/>
          <w:position w:val="-1"/>
        </w:rPr>
        <w:t>e</w:t>
      </w:r>
      <w:r>
        <w:rPr>
          <w:rFonts w:cs="Arial"/>
          <w:spacing w:val="-1"/>
          <w:position w:val="-1"/>
        </w:rPr>
        <w:t>i</w:t>
      </w:r>
      <w:r>
        <w:rPr>
          <w:rFonts w:cs="Arial"/>
          <w:position w:val="-1"/>
        </w:rPr>
        <w:t>n</w:t>
      </w:r>
      <w:r>
        <w:rPr>
          <w:rFonts w:cs="Arial"/>
          <w:spacing w:val="1"/>
          <w:position w:val="-1"/>
        </w:rPr>
        <w:t>sc</w:t>
      </w:r>
      <w:r>
        <w:rPr>
          <w:rFonts w:cs="Arial"/>
          <w:position w:val="-1"/>
        </w:rPr>
        <w:t>ha</w:t>
      </w:r>
      <w:r>
        <w:rPr>
          <w:rFonts w:cs="Arial"/>
          <w:spacing w:val="2"/>
          <w:position w:val="-1"/>
        </w:rPr>
        <w:t>f</w:t>
      </w:r>
      <w:r>
        <w:rPr>
          <w:rFonts w:cs="Arial"/>
          <w:position w:val="-1"/>
        </w:rPr>
        <w:t>t</w:t>
      </w:r>
      <w:r>
        <w:rPr>
          <w:rFonts w:cs="Arial"/>
          <w:spacing w:val="-17"/>
          <w:position w:val="-1"/>
        </w:rPr>
        <w:t xml:space="preserve"> </w:t>
      </w:r>
      <w:r>
        <w:rPr>
          <w:rFonts w:cs="Arial"/>
          <w:spacing w:val="-4"/>
          <w:position w:val="-1"/>
        </w:rPr>
        <w:t>z</w:t>
      </w:r>
      <w:r>
        <w:rPr>
          <w:rFonts w:cs="Arial"/>
          <w:position w:val="-1"/>
        </w:rPr>
        <w:t>u un</w:t>
      </w:r>
      <w:r>
        <w:rPr>
          <w:rFonts w:cs="Arial"/>
          <w:spacing w:val="2"/>
          <w:position w:val="-1"/>
        </w:rPr>
        <w:t>t</w:t>
      </w:r>
      <w:r>
        <w:rPr>
          <w:rFonts w:cs="Arial"/>
          <w:position w:val="-1"/>
        </w:rPr>
        <w:t>e</w:t>
      </w:r>
      <w:r>
        <w:rPr>
          <w:rFonts w:cs="Arial"/>
          <w:spacing w:val="1"/>
          <w:position w:val="-1"/>
        </w:rPr>
        <w:t>rsc</w:t>
      </w:r>
      <w:r>
        <w:rPr>
          <w:rFonts w:cs="Arial"/>
          <w:position w:val="-1"/>
        </w:rPr>
        <w:t>h</w:t>
      </w:r>
      <w:r>
        <w:rPr>
          <w:rFonts w:cs="Arial"/>
          <w:spacing w:val="1"/>
          <w:position w:val="-1"/>
        </w:rPr>
        <w:t>r</w:t>
      </w:r>
      <w:r>
        <w:rPr>
          <w:rFonts w:cs="Arial"/>
          <w:position w:val="-1"/>
        </w:rPr>
        <w:t>e</w:t>
      </w:r>
      <w:r>
        <w:rPr>
          <w:rFonts w:cs="Arial"/>
          <w:spacing w:val="-1"/>
          <w:position w:val="-1"/>
        </w:rPr>
        <w:t>i</w:t>
      </w:r>
      <w:r>
        <w:rPr>
          <w:rFonts w:cs="Arial"/>
          <w:spacing w:val="2"/>
          <w:position w:val="-1"/>
        </w:rPr>
        <w:t>b</w:t>
      </w:r>
      <w:r>
        <w:rPr>
          <w:rFonts w:cs="Arial"/>
          <w:position w:val="-1"/>
        </w:rPr>
        <w:t>en.</w:t>
      </w:r>
    </w:p>
    <w:p>
      <w:pPr>
        <w:widowControl w:val="0"/>
        <w:autoSpaceDE w:val="0"/>
        <w:autoSpaceDN w:val="0"/>
        <w:adjustRightInd w:val="0"/>
        <w:spacing w:line="226" w:lineRule="exact"/>
        <w:ind w:right="-20"/>
        <w:outlineLvl w:val="0"/>
        <w:rPr>
          <w:rFonts w:cs="Arial"/>
          <w:u w:val="single"/>
        </w:rPr>
      </w:pPr>
    </w:p>
    <w:p>
      <w:pPr>
        <w:widowControl w:val="0"/>
        <w:autoSpaceDE w:val="0"/>
        <w:autoSpaceDN w:val="0"/>
        <w:adjustRightInd w:val="0"/>
        <w:spacing w:line="226" w:lineRule="exact"/>
        <w:ind w:left="118" w:right="-20"/>
        <w:outlineLvl w:val="0"/>
        <w:rPr>
          <w:rFonts w:cs="Arial"/>
        </w:rPr>
      </w:pPr>
      <w:r>
        <w:rPr>
          <w:rFonts w:cs="Arial"/>
        </w:rPr>
        <w:t xml:space="preserve"> </w:t>
      </w:r>
    </w:p>
    <w:p>
      <w:pPr>
        <w:pStyle w:val="berschrift2"/>
        <w:rPr>
          <w:rFonts w:asciiTheme="minorHAnsi" w:hAnsiTheme="minorHAnsi"/>
          <w:u w:val="single"/>
        </w:rPr>
      </w:pPr>
      <w:r>
        <w:rPr>
          <w:rFonts w:asciiTheme="minorHAnsi" w:eastAsiaTheme="minorHAnsi" w:hAnsiTheme="minorHAnsi"/>
          <w:u w:val="single"/>
          <w:lang w:eastAsia="en-US"/>
        </w:rPr>
        <w:t>XVII. Zuschlagserteilung</w:t>
      </w:r>
      <w:r>
        <w:rPr>
          <w:rFonts w:asciiTheme="minorHAnsi" w:hAnsiTheme="minorHAnsi"/>
          <w:u w:val="single"/>
        </w:rPr>
        <w:t xml:space="preserve"> / Vertragsabschluss </w:t>
      </w:r>
    </w:p>
    <w:p>
      <w:pPr>
        <w:jc w:val="both"/>
      </w:pPr>
      <w:r>
        <w:t>Die Zuschlagserteilung erfolgt schriftlich. Der Bieter ist bis zum Ablauf der Zuschlagsfrist an sein Angebot gebunden.</w:t>
      </w:r>
    </w:p>
    <w:p>
      <w:pPr>
        <w:jc w:val="both"/>
        <w:rPr>
          <w:b/>
          <w:bCs/>
        </w:rPr>
      </w:pPr>
    </w:p>
    <w:p>
      <w:pPr>
        <w:autoSpaceDE w:val="0"/>
        <w:autoSpaceDN w:val="0"/>
        <w:adjustRightInd w:val="0"/>
        <w:rPr>
          <w:rFonts w:cs="Arial"/>
        </w:rPr>
      </w:pPr>
    </w:p>
    <w:p>
      <w:pPr>
        <w:autoSpaceDE w:val="0"/>
        <w:autoSpaceDN w:val="0"/>
        <w:adjustRightInd w:val="0"/>
        <w:rPr>
          <w:rFonts w:cs="Arial"/>
          <w:b/>
          <w:bCs/>
          <w:sz w:val="24"/>
          <w:szCs w:val="24"/>
        </w:rPr>
      </w:pPr>
      <w:r>
        <w:rPr>
          <w:rFonts w:cs="Arial"/>
          <w:b/>
          <w:bCs/>
          <w:sz w:val="24"/>
          <w:szCs w:val="24"/>
          <w:bdr w:val="single" w:sz="4" w:space="0" w:color="auto"/>
        </w:rPr>
        <w:t>Teil B Besondere Hinweise und Erläuterungen/wichtige Ausfüllhinweise</w:t>
      </w:r>
    </w:p>
    <w:p>
      <w:pPr>
        <w:autoSpaceDE w:val="0"/>
        <w:autoSpaceDN w:val="0"/>
        <w:adjustRightInd w:val="0"/>
        <w:rPr>
          <w:rFonts w:cs="Arial"/>
          <w:bCs/>
        </w:rPr>
      </w:pPr>
    </w:p>
    <w:p>
      <w:pPr>
        <w:autoSpaceDE w:val="0"/>
        <w:autoSpaceDN w:val="0"/>
        <w:adjustRightInd w:val="0"/>
        <w:rPr>
          <w:rFonts w:cs="Arial"/>
          <w:b/>
          <w:bCs/>
          <w:u w:val="thick"/>
        </w:rPr>
      </w:pPr>
      <w:r>
        <w:rPr>
          <w:rFonts w:cs="Arial"/>
          <w:b/>
          <w:bCs/>
          <w:u w:val="thick"/>
        </w:rPr>
        <w:t>I. Verwendung der Formblätter/Formelle Anforderungen</w:t>
      </w:r>
    </w:p>
    <w:p>
      <w:pPr>
        <w:autoSpaceDE w:val="0"/>
        <w:autoSpaceDN w:val="0"/>
        <w:adjustRightInd w:val="0"/>
        <w:rPr>
          <w:rFonts w:cs="Arial"/>
          <w:bCs/>
          <w:color w:val="FF0000"/>
        </w:rPr>
      </w:pPr>
    </w:p>
    <w:p>
      <w:pPr>
        <w:autoSpaceDE w:val="0"/>
        <w:autoSpaceDN w:val="0"/>
        <w:adjustRightInd w:val="0"/>
        <w:rPr>
          <w:rFonts w:cs="Arial"/>
          <w:bCs/>
        </w:rPr>
      </w:pPr>
    </w:p>
    <w:p>
      <w:pPr>
        <w:autoSpaceDE w:val="0"/>
        <w:autoSpaceDN w:val="0"/>
        <w:adjustRightInd w:val="0"/>
        <w:rPr>
          <w:rFonts w:cs="Arial"/>
          <w:bCs/>
        </w:rPr>
      </w:pPr>
      <w:r>
        <w:rPr>
          <w:rFonts w:cs="Arial"/>
          <w:bCs/>
        </w:rPr>
        <w:t xml:space="preserve">Das Konzept zur Durchführung der sicherheitstechnischen Betreuung in der Kreisverwaltung Göttingen soll </w:t>
      </w:r>
      <w:r>
        <w:rPr>
          <w:rFonts w:ascii="Calibri" w:eastAsia="Times New Roman" w:hAnsi="Calibri" w:cs="Calibri"/>
          <w:lang w:eastAsia="de-DE"/>
        </w:rPr>
        <w:t>15 DIN A4 Seiten nicht übersteigen. Zusätzliche Anhänge/ Anlagen zum Konzept werden bei der Bewertung nicht berücksichtigt.</w:t>
      </w:r>
    </w:p>
    <w:p>
      <w:pPr>
        <w:autoSpaceDE w:val="0"/>
        <w:autoSpaceDN w:val="0"/>
        <w:adjustRightInd w:val="0"/>
        <w:rPr>
          <w:rFonts w:ascii="Calibri" w:hAnsi="Calibri" w:cs="Calibri"/>
        </w:rPr>
      </w:pPr>
      <w:r>
        <w:rPr>
          <w:rFonts w:ascii="Calibri" w:hAnsi="Calibri" w:cs="Calibri"/>
        </w:rPr>
        <w:t xml:space="preserve">Das Konzept soll entsprechend der vorgegebenen Reihenfolge der aufgeführten Zuschlagskriterien gegliedert werden (siehe Ziffer XV.). </w:t>
      </w:r>
    </w:p>
    <w:p>
      <w:pPr>
        <w:autoSpaceDE w:val="0"/>
        <w:autoSpaceDN w:val="0"/>
        <w:adjustRightInd w:val="0"/>
        <w:rPr>
          <w:rFonts w:cs="Arial"/>
          <w:bCs/>
        </w:rPr>
      </w:pPr>
      <w:r>
        <w:rPr>
          <w:rFonts w:cs="Arial"/>
          <w:bCs/>
        </w:rPr>
        <w:t xml:space="preserve">Das Konzept soll inhaltlich erläutern, wie der Bieter die unter Ziffer III. Leistungen des AN aufgeführten Inhalte ausführen und strukturieren wird. Es soll deutlich gemacht werden, welche Anzahl an Fachkräften für Arbeitssicherheit für den ständigen Einsatz sowie welche Anzahl an Hilfspersonal vorgesehenen ist. Die Qualifikation des einzusetzenden Personals soll ebenfalls </w:t>
      </w:r>
      <w:r>
        <w:rPr>
          <w:rFonts w:cs="Arial"/>
          <w:bCs/>
        </w:rPr>
        <w:lastRenderedPageBreak/>
        <w:t>dargestellt werden. Aus dem Konzept sollen ergänzend zu den geforderten Nachweisen zu Ziffer XI. über die berufliche und sonstige Qualifikation der einzusetzenden Fachkraft für Arbeitssicherheit (vgl. Ziffer XII.), den Angaben im Vordruck II „Erklärung der Bietereignung“ sowie der Referenzen in Vordruck IV „Referenzliste“ die bisherigen Erfahrungen und Kenntnisse bei der Durchführung von sicherheitstechnischer Betreuung beschrieben werden. Darüber hinaus sollen konkrete Vorschläge zur Sicherstellung der Erreichbarkeit und Verfügbarkeit für die Kreisverwaltung dargestellt werden.</w:t>
      </w:r>
    </w:p>
    <w:p>
      <w:pPr>
        <w:autoSpaceDE w:val="0"/>
        <w:autoSpaceDN w:val="0"/>
        <w:adjustRightInd w:val="0"/>
        <w:rPr>
          <w:rFonts w:ascii="Calibri" w:hAnsi="Calibri" w:cs="Calibri"/>
        </w:rPr>
      </w:pPr>
    </w:p>
    <w:p>
      <w:pPr>
        <w:autoSpaceDE w:val="0"/>
        <w:autoSpaceDN w:val="0"/>
        <w:adjustRightInd w:val="0"/>
        <w:rPr>
          <w:rFonts w:cs="Arial"/>
          <w:bCs/>
        </w:rPr>
      </w:pPr>
      <w:r>
        <w:rPr>
          <w:rFonts w:cs="Arial"/>
          <w:bCs/>
        </w:rPr>
        <w:t>Änderungen am Leistungsverzeichnis sind nicht zulässig. Die Vordrucke sind ausschließlich um die darin geforderten Angaben zu ergänzen. Sollten weitergehende Erläuterungen zu dem Angebot erforderlich sein, bitte ein gesondertes Blatt verwenden.</w:t>
      </w:r>
    </w:p>
    <w:p>
      <w:pPr>
        <w:autoSpaceDE w:val="0"/>
        <w:autoSpaceDN w:val="0"/>
        <w:adjustRightInd w:val="0"/>
        <w:rPr>
          <w:rFonts w:cs="Arial"/>
          <w:bCs/>
        </w:rPr>
      </w:pPr>
    </w:p>
    <w:p>
      <w:pPr>
        <w:autoSpaceDE w:val="0"/>
        <w:autoSpaceDN w:val="0"/>
        <w:adjustRightInd w:val="0"/>
        <w:rPr>
          <w:rFonts w:cs="Arial"/>
          <w:bCs/>
        </w:rPr>
      </w:pPr>
      <w:r>
        <w:rPr>
          <w:rFonts w:cs="Arial"/>
          <w:bCs/>
        </w:rPr>
        <w:t xml:space="preserve">Bitte achten Sie darauf, dass alle Anforderungen eingehalten werden und die geforderte Preisangabe erfolgt. </w:t>
      </w: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
          <w:bCs/>
          <w:u w:val="thick"/>
        </w:rPr>
      </w:pPr>
      <w:r>
        <w:rPr>
          <w:rFonts w:cs="Arial"/>
          <w:b/>
          <w:bCs/>
          <w:u w:val="thick"/>
        </w:rPr>
        <w:t>II. Nebenangebote</w:t>
      </w:r>
    </w:p>
    <w:p>
      <w:pPr>
        <w:autoSpaceDE w:val="0"/>
        <w:autoSpaceDN w:val="0"/>
        <w:adjustRightInd w:val="0"/>
        <w:rPr>
          <w:rFonts w:cs="Arial"/>
          <w:bCs/>
        </w:rPr>
      </w:pPr>
    </w:p>
    <w:p>
      <w:pPr>
        <w:autoSpaceDE w:val="0"/>
        <w:autoSpaceDN w:val="0"/>
        <w:adjustRightInd w:val="0"/>
        <w:rPr>
          <w:rFonts w:cs="Arial"/>
          <w:bCs/>
        </w:rPr>
      </w:pPr>
      <w:r>
        <w:rPr>
          <w:rFonts w:cs="Arial"/>
          <w:bCs/>
        </w:rPr>
        <w:t>In dieser Ausschreibung sind Nebenangebote nicht zugelassen.</w:t>
      </w: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r>
        <w:rPr>
          <w:rFonts w:cs="Arial"/>
          <w:b/>
          <w:bCs/>
          <w:bdr w:val="single" w:sz="4" w:space="0" w:color="auto"/>
        </w:rPr>
        <w:t>Teil C - Übersicht über die vorzulegenden Nachweise/Unterlagen/Erklärungen</w:t>
      </w:r>
    </w:p>
    <w:p>
      <w:pPr>
        <w:autoSpaceDE w:val="0"/>
        <w:autoSpaceDN w:val="0"/>
        <w:adjustRightInd w:val="0"/>
        <w:rPr>
          <w:rFonts w:cs="Arial"/>
          <w:bCs/>
        </w:rPr>
      </w:pPr>
    </w:p>
    <w:p>
      <w:pPr>
        <w:autoSpaceDE w:val="0"/>
        <w:autoSpaceDN w:val="0"/>
        <w:adjustRightInd w:val="0"/>
        <w:rPr>
          <w:rFonts w:cs="Arial"/>
          <w:bCs/>
        </w:rPr>
      </w:pPr>
      <w:r>
        <w:rPr>
          <w:rFonts w:cs="Arial"/>
          <w:bCs/>
        </w:rPr>
        <w:t>Es werden nur Bieter/innen berücksichtigt, welche die für die zu vergebende Leistung erforderliche Leistungsfähigkeit, Fachkunde und Zuverlässigkeit besitzen und diese nachgewiesen haben.</w:t>
      </w:r>
    </w:p>
    <w:p>
      <w:pPr>
        <w:autoSpaceDE w:val="0"/>
        <w:autoSpaceDN w:val="0"/>
        <w:adjustRightInd w:val="0"/>
        <w:rPr>
          <w:rFonts w:cs="Arial"/>
          <w:bCs/>
        </w:rPr>
      </w:pPr>
    </w:p>
    <w:p>
      <w:pPr>
        <w:autoSpaceDE w:val="0"/>
        <w:autoSpaceDN w:val="0"/>
        <w:adjustRightInd w:val="0"/>
        <w:ind w:left="708"/>
        <w:rPr>
          <w:rFonts w:cs="Arial"/>
          <w:bCs/>
          <w:u w:val="single"/>
        </w:rPr>
      </w:pPr>
      <w:r>
        <w:rPr>
          <w:rFonts w:cs="Arial"/>
          <w:b/>
          <w:bCs/>
          <w:u w:val="single"/>
        </w:rPr>
        <w:t xml:space="preserve">I. </w:t>
      </w:r>
      <w:r>
        <w:rPr>
          <w:rFonts w:cs="Arial"/>
          <w:bCs/>
          <w:u w:val="single"/>
        </w:rPr>
        <w:t>Mit dem Angebot vorzulegen</w:t>
      </w:r>
      <w:r>
        <w:rPr>
          <w:rFonts w:cs="Arial"/>
          <w:bCs/>
        </w:rPr>
        <w:t xml:space="preserve"> </w:t>
      </w:r>
      <w:r>
        <w:rPr>
          <w:rFonts w:cs="Arial"/>
          <w:bCs/>
        </w:rPr>
        <w:br/>
        <w:t>(</w:t>
      </w:r>
      <w:r>
        <w:t>Erklärungen und Nachweise, die auf Anforderung der AG bis zum Ablauf der Angebotsfrist nicht vorgelegt wurden, können bis zum Ablauf einer zu bestimmenden Nachfrist nachgefordert werden):</w:t>
      </w:r>
    </w:p>
    <w:p>
      <w:pPr>
        <w:autoSpaceDE w:val="0"/>
        <w:autoSpaceDN w:val="0"/>
        <w:adjustRightInd w:val="0"/>
        <w:ind w:left="708"/>
        <w:rPr>
          <w:rFonts w:cs="Arial"/>
          <w:bCs/>
        </w:rPr>
      </w:pPr>
    </w:p>
    <w:p>
      <w:pPr>
        <w:pStyle w:val="Listenabsatz"/>
        <w:numPr>
          <w:ilvl w:val="0"/>
          <w:numId w:val="18"/>
        </w:numPr>
        <w:autoSpaceDE w:val="0"/>
        <w:autoSpaceDN w:val="0"/>
        <w:adjustRightInd w:val="0"/>
        <w:rPr>
          <w:rFonts w:cs="Arial"/>
          <w:bCs/>
        </w:rPr>
      </w:pPr>
      <w:r>
        <w:rPr>
          <w:rFonts w:cs="Arial"/>
          <w:bCs/>
        </w:rPr>
        <w:t>Konzept zur Durchführung der sicherheitstechnischen Betreuung der Kreisverwaltung Göttingen</w:t>
      </w:r>
    </w:p>
    <w:p>
      <w:pPr>
        <w:pStyle w:val="Listenabsatz"/>
        <w:autoSpaceDE w:val="0"/>
        <w:autoSpaceDN w:val="0"/>
        <w:adjustRightInd w:val="0"/>
        <w:ind w:left="1068"/>
        <w:rPr>
          <w:rFonts w:cs="Arial"/>
          <w:bCs/>
        </w:rPr>
      </w:pPr>
    </w:p>
    <w:p>
      <w:pPr>
        <w:pStyle w:val="Listenabsatz"/>
        <w:numPr>
          <w:ilvl w:val="0"/>
          <w:numId w:val="18"/>
        </w:numPr>
        <w:autoSpaceDE w:val="0"/>
        <w:autoSpaceDN w:val="0"/>
        <w:adjustRightInd w:val="0"/>
        <w:rPr>
          <w:rFonts w:cs="Arial"/>
          <w:bCs/>
        </w:rPr>
      </w:pPr>
      <w:r>
        <w:rPr>
          <w:rFonts w:cs="Arial"/>
          <w:bCs/>
        </w:rPr>
        <w:t>Nachweise für die einzusetzende Fachkraft für Arbeitssicherheit/die einzusetzenden Fachkräfte für Arbeitssicherheit</w:t>
      </w:r>
    </w:p>
    <w:p>
      <w:pPr>
        <w:autoSpaceDE w:val="0"/>
        <w:autoSpaceDN w:val="0"/>
        <w:adjustRightInd w:val="0"/>
        <w:ind w:left="708"/>
        <w:rPr>
          <w:rFonts w:cs="Arial"/>
          <w:bCs/>
        </w:rPr>
      </w:pPr>
    </w:p>
    <w:p>
      <w:pPr>
        <w:autoSpaceDE w:val="0"/>
        <w:autoSpaceDN w:val="0"/>
        <w:adjustRightInd w:val="0"/>
        <w:ind w:left="1416"/>
        <w:rPr>
          <w:rFonts w:cs="Arial"/>
          <w:bCs/>
        </w:rPr>
      </w:pPr>
      <w:r>
        <w:rPr>
          <w:rFonts w:cs="Arial"/>
          <w:bCs/>
        </w:rPr>
        <w:t>2.1 Nachweise der Fachkunde als Fachkraft für Arbeitssicherheit</w:t>
      </w:r>
    </w:p>
    <w:p>
      <w:pPr>
        <w:autoSpaceDE w:val="0"/>
        <w:autoSpaceDN w:val="0"/>
        <w:adjustRightInd w:val="0"/>
        <w:ind w:left="1416"/>
        <w:rPr>
          <w:rFonts w:cs="Arial"/>
          <w:bCs/>
        </w:rPr>
      </w:pPr>
      <w:r>
        <w:rPr>
          <w:rFonts w:cs="Arial"/>
          <w:bCs/>
        </w:rPr>
        <w:t>2.2 Nachweise über die bisherige Berufserfahrung als Fachkraft für Arbeitssicherheit</w:t>
      </w:r>
    </w:p>
    <w:p>
      <w:pPr>
        <w:autoSpaceDE w:val="0"/>
        <w:autoSpaceDN w:val="0"/>
        <w:adjustRightInd w:val="0"/>
        <w:ind w:left="1416"/>
        <w:rPr>
          <w:rFonts w:cs="Arial"/>
          <w:bCs/>
        </w:rPr>
      </w:pPr>
      <w:r>
        <w:rPr>
          <w:rFonts w:cs="Arial"/>
          <w:bCs/>
        </w:rPr>
        <w:t>2.3 Zertifikate über absolvierte sicherheitstechnische Fortbildungslehrgänge</w:t>
      </w:r>
    </w:p>
    <w:p>
      <w:pPr>
        <w:autoSpaceDE w:val="0"/>
        <w:autoSpaceDN w:val="0"/>
        <w:adjustRightInd w:val="0"/>
        <w:ind w:left="708"/>
        <w:rPr>
          <w:rFonts w:cs="Arial"/>
          <w:bCs/>
        </w:rPr>
      </w:pPr>
    </w:p>
    <w:p>
      <w:pPr>
        <w:pStyle w:val="Listenabsatz"/>
        <w:numPr>
          <w:ilvl w:val="0"/>
          <w:numId w:val="18"/>
        </w:numPr>
        <w:autoSpaceDE w:val="0"/>
        <w:autoSpaceDN w:val="0"/>
        <w:adjustRightInd w:val="0"/>
        <w:rPr>
          <w:rFonts w:cs="Arial"/>
          <w:bCs/>
        </w:rPr>
      </w:pPr>
      <w:r>
        <w:rPr>
          <w:rFonts w:cs="Arial"/>
          <w:bCs/>
        </w:rPr>
        <w:t>Leistungsverzeichnis (unter Abgabe des Angebotspreises, Bietergemeinschaft, Haftpflichtversicherung)</w:t>
      </w:r>
    </w:p>
    <w:p>
      <w:pPr>
        <w:pStyle w:val="Listenabsatz"/>
        <w:autoSpaceDE w:val="0"/>
        <w:autoSpaceDN w:val="0"/>
        <w:adjustRightInd w:val="0"/>
        <w:ind w:left="1068"/>
        <w:rPr>
          <w:rFonts w:cs="Arial"/>
          <w:bCs/>
        </w:rPr>
      </w:pPr>
    </w:p>
    <w:p>
      <w:pPr>
        <w:pStyle w:val="Listenabsatz"/>
        <w:numPr>
          <w:ilvl w:val="0"/>
          <w:numId w:val="18"/>
        </w:numPr>
        <w:autoSpaceDE w:val="0"/>
        <w:autoSpaceDN w:val="0"/>
        <w:adjustRightInd w:val="0"/>
        <w:rPr>
          <w:rFonts w:cs="Arial"/>
          <w:bCs/>
        </w:rPr>
      </w:pPr>
      <w:r>
        <w:rPr>
          <w:rFonts w:cs="Arial"/>
          <w:bCs/>
        </w:rPr>
        <w:t>Vordrucke</w:t>
      </w:r>
    </w:p>
    <w:p>
      <w:pPr>
        <w:pStyle w:val="Listenabsatz"/>
        <w:numPr>
          <w:ilvl w:val="0"/>
          <w:numId w:val="19"/>
        </w:numPr>
        <w:autoSpaceDE w:val="0"/>
        <w:autoSpaceDN w:val="0"/>
        <w:adjustRightInd w:val="0"/>
        <w:rPr>
          <w:rFonts w:cs="Arial"/>
          <w:bCs/>
        </w:rPr>
      </w:pPr>
      <w:r>
        <w:rPr>
          <w:rFonts w:cs="Arial"/>
          <w:bCs/>
        </w:rPr>
        <w:t>Vordruck I, „Angaben des Bieters/der Bietergemeinschaft“</w:t>
      </w:r>
    </w:p>
    <w:p>
      <w:pPr>
        <w:pStyle w:val="Listenabsatz"/>
        <w:numPr>
          <w:ilvl w:val="0"/>
          <w:numId w:val="19"/>
        </w:numPr>
        <w:autoSpaceDE w:val="0"/>
        <w:autoSpaceDN w:val="0"/>
        <w:adjustRightInd w:val="0"/>
        <w:rPr>
          <w:rFonts w:cs="Arial"/>
          <w:bCs/>
        </w:rPr>
      </w:pPr>
      <w:r>
        <w:rPr>
          <w:rFonts w:cs="Arial"/>
          <w:bCs/>
        </w:rPr>
        <w:t>Vordruck II, „Erklärungen zur Bietereignung“</w:t>
      </w:r>
    </w:p>
    <w:p>
      <w:pPr>
        <w:pStyle w:val="Listenabsatz"/>
        <w:numPr>
          <w:ilvl w:val="0"/>
          <w:numId w:val="19"/>
        </w:numPr>
        <w:autoSpaceDE w:val="0"/>
        <w:autoSpaceDN w:val="0"/>
        <w:adjustRightInd w:val="0"/>
        <w:rPr>
          <w:rFonts w:cs="Arial"/>
          <w:bCs/>
        </w:rPr>
      </w:pPr>
      <w:r>
        <w:rPr>
          <w:rFonts w:cs="Arial"/>
          <w:bCs/>
        </w:rPr>
        <w:t>Vordruck III, „Berufsbiographie des Personals“</w:t>
      </w:r>
    </w:p>
    <w:p>
      <w:pPr>
        <w:pStyle w:val="Listenabsatz"/>
        <w:numPr>
          <w:ilvl w:val="0"/>
          <w:numId w:val="19"/>
        </w:numPr>
        <w:autoSpaceDE w:val="0"/>
        <w:autoSpaceDN w:val="0"/>
        <w:adjustRightInd w:val="0"/>
        <w:rPr>
          <w:rFonts w:cs="Arial"/>
          <w:bCs/>
        </w:rPr>
      </w:pPr>
      <w:r>
        <w:rPr>
          <w:rFonts w:cs="Arial"/>
          <w:bCs/>
        </w:rPr>
        <w:t>Vordruck IV, „Referenzliste“</w:t>
      </w:r>
    </w:p>
    <w:p>
      <w:pPr>
        <w:autoSpaceDE w:val="0"/>
        <w:autoSpaceDN w:val="0"/>
        <w:adjustRightInd w:val="0"/>
        <w:rPr>
          <w:rFonts w:cs="Arial"/>
          <w:b/>
          <w:bCs/>
        </w:rPr>
      </w:pPr>
    </w:p>
    <w:p>
      <w:pPr>
        <w:autoSpaceDE w:val="0"/>
        <w:autoSpaceDN w:val="0"/>
        <w:adjustRightInd w:val="0"/>
        <w:rPr>
          <w:rFonts w:cs="Arial"/>
          <w:b/>
          <w:bCs/>
        </w:rPr>
      </w:pPr>
    </w:p>
    <w:p>
      <w:pPr>
        <w:autoSpaceDE w:val="0"/>
        <w:autoSpaceDN w:val="0"/>
        <w:adjustRightInd w:val="0"/>
        <w:ind w:left="708"/>
        <w:rPr>
          <w:rFonts w:cs="Arial"/>
          <w:bCs/>
          <w:u w:val="single"/>
        </w:rPr>
      </w:pPr>
    </w:p>
    <w:p>
      <w:pPr>
        <w:autoSpaceDE w:val="0"/>
        <w:autoSpaceDN w:val="0"/>
        <w:adjustRightInd w:val="0"/>
        <w:ind w:left="708"/>
        <w:rPr>
          <w:rFonts w:cs="Arial"/>
          <w:bCs/>
          <w:u w:val="single"/>
        </w:rPr>
      </w:pPr>
      <w:r>
        <w:rPr>
          <w:rFonts w:cs="Arial"/>
          <w:bCs/>
          <w:u w:val="single"/>
        </w:rPr>
        <w:lastRenderedPageBreak/>
        <w:t>II. Nur auf Anforderung in Kopie vorzulegende Unterlagen des AN:</w:t>
      </w:r>
    </w:p>
    <w:p>
      <w:pPr>
        <w:autoSpaceDE w:val="0"/>
        <w:autoSpaceDN w:val="0"/>
        <w:adjustRightInd w:val="0"/>
        <w:ind w:left="708"/>
        <w:rPr>
          <w:rFonts w:cs="Arial"/>
          <w:bCs/>
        </w:rPr>
      </w:pPr>
    </w:p>
    <w:p>
      <w:pPr>
        <w:autoSpaceDE w:val="0"/>
        <w:autoSpaceDN w:val="0"/>
        <w:adjustRightInd w:val="0"/>
        <w:ind w:left="708"/>
        <w:rPr>
          <w:rFonts w:cs="Arial"/>
          <w:bCs/>
        </w:rPr>
      </w:pPr>
      <w:r>
        <w:rPr>
          <w:rFonts w:cs="Arial"/>
          <w:bCs/>
        </w:rPr>
        <w:t>1.</w:t>
      </w:r>
      <w:r>
        <w:rPr>
          <w:rFonts w:cs="Arial"/>
          <w:bCs/>
        </w:rPr>
        <w:tab/>
        <w:t xml:space="preserve">Versicherungspolice der Haftpflichtversicherung </w:t>
      </w:r>
    </w:p>
    <w:p>
      <w:pPr>
        <w:autoSpaceDE w:val="0"/>
        <w:autoSpaceDN w:val="0"/>
        <w:adjustRightInd w:val="0"/>
        <w:ind w:left="708"/>
        <w:rPr>
          <w:rFonts w:cs="Arial"/>
          <w:bCs/>
        </w:rPr>
      </w:pPr>
      <w:r>
        <w:rPr>
          <w:rFonts w:cs="Arial"/>
          <w:bCs/>
        </w:rPr>
        <w:t>2.</w:t>
      </w:r>
      <w:r>
        <w:rPr>
          <w:rFonts w:cs="Arial"/>
          <w:bCs/>
        </w:rPr>
        <w:tab/>
        <w:t xml:space="preserve">Unbedenklichkeitsbescheinigung des Finanzamtes über die Entrichtung von Steuern </w:t>
      </w:r>
    </w:p>
    <w:p>
      <w:pPr>
        <w:autoSpaceDE w:val="0"/>
        <w:autoSpaceDN w:val="0"/>
        <w:adjustRightInd w:val="0"/>
        <w:ind w:left="1416"/>
        <w:rPr>
          <w:rFonts w:cs="Arial"/>
          <w:bCs/>
        </w:rPr>
      </w:pPr>
      <w:r>
        <w:rPr>
          <w:rFonts w:cs="Arial"/>
          <w:bCs/>
        </w:rPr>
        <w:t>(bzw. eine von der zuständigen Behörde des Mitgliedsstaates ausgestellte gleichwertige Bescheinigung) *</w:t>
      </w:r>
    </w:p>
    <w:p>
      <w:pPr>
        <w:autoSpaceDE w:val="0"/>
        <w:autoSpaceDN w:val="0"/>
        <w:adjustRightInd w:val="0"/>
        <w:ind w:left="708"/>
        <w:rPr>
          <w:rFonts w:cs="Arial"/>
          <w:bCs/>
        </w:rPr>
      </w:pPr>
    </w:p>
    <w:p>
      <w:pPr>
        <w:autoSpaceDE w:val="0"/>
        <w:autoSpaceDN w:val="0"/>
        <w:adjustRightInd w:val="0"/>
        <w:ind w:firstLine="708"/>
        <w:rPr>
          <w:rFonts w:cs="Arial"/>
        </w:rPr>
      </w:pPr>
    </w:p>
    <w:p>
      <w:pPr>
        <w:autoSpaceDE w:val="0"/>
        <w:autoSpaceDN w:val="0"/>
        <w:adjustRightInd w:val="0"/>
        <w:rPr>
          <w:rFonts w:cs="Arial"/>
          <w:bCs/>
        </w:rPr>
      </w:pPr>
    </w:p>
    <w:p>
      <w:pPr>
        <w:autoSpaceDE w:val="0"/>
        <w:autoSpaceDN w:val="0"/>
        <w:adjustRightInd w:val="0"/>
        <w:rPr>
          <w:rFonts w:cs="Arial"/>
          <w:bCs/>
        </w:rPr>
      </w:pPr>
      <w:r>
        <w:rPr>
          <w:rFonts w:cs="Arial"/>
          <w:bCs/>
        </w:rPr>
        <w:t>* nicht älter als 6 Monate zum Ablauf der Angebotsfrist</w:t>
      </w: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p>
      <w:pPr>
        <w:autoSpaceDE w:val="0"/>
        <w:autoSpaceDN w:val="0"/>
        <w:adjustRightInd w:val="0"/>
        <w:rPr>
          <w:rFonts w:cs="Arial"/>
          <w:bCs/>
        </w:rPr>
      </w:pPr>
    </w:p>
    <w:sectPr>
      <w:headerReference w:type="default" r:id="rId10"/>
      <w:footerReference w:type="default" r:id="rId11"/>
      <w:pgSz w:w="11906" w:h="16838" w:code="9"/>
      <w:pgMar w:top="811" w:right="1418" w:bottom="907" w:left="1418" w:header="709" w:footer="420" w:gutter="0"/>
      <w:paperSrc w:first="261" w:other="26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ind w:left="720"/>
      <w:jc w:val="right"/>
    </w:pPr>
    <w:r>
      <w:t xml:space="preserve">- </w:t>
    </w:r>
    <w:sdt>
      <w:sdtPr>
        <w:id w:val="1646930896"/>
        <w:docPartObj>
          <w:docPartGallery w:val="Page Numbers (Bottom of Page)"/>
          <w:docPartUnique/>
        </w:docPartObj>
      </w:sdtPr>
      <w:sdtContent>
        <w:r>
          <w:fldChar w:fldCharType="begin"/>
        </w:r>
        <w:r>
          <w:instrText>PAGE   \* MERGEFORMAT</w:instrText>
        </w:r>
        <w:r>
          <w:fldChar w:fldCharType="separate"/>
        </w:r>
        <w:r>
          <w:rPr>
            <w:noProof/>
          </w:rPr>
          <w:t>1</w:t>
        </w:r>
        <w:r>
          <w:fldChar w:fldCharType="end"/>
        </w:r>
      </w:sdtContent>
    </w:sdt>
    <w:r>
      <w:t xml:space="preserve"> -</w:t>
    </w:r>
  </w:p>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autoSpaceDE w:val="0"/>
      <w:autoSpaceDN w:val="0"/>
      <w:adjustRightInd w:val="0"/>
      <w:jc w:val="right"/>
      <w:rPr>
        <w:rFonts w:cs="Arial"/>
        <w:bCs/>
        <w:color w:val="FFFFFF" w:themeColor="background1"/>
      </w:rPr>
    </w:pPr>
    <w:r>
      <w:rPr>
        <w:rFonts w:cs="Arial"/>
        <w:bCs/>
        <w:color w:val="FFFFFF" w:themeColor="background1"/>
      </w:rPr>
      <w:t>Stand 09.09.2016</w:t>
    </w:r>
  </w:p>
  <w:p>
    <w:pPr>
      <w:pStyle w:val="Kopfzeile"/>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D3FDC"/>
    <w:multiLevelType w:val="hybridMultilevel"/>
    <w:tmpl w:val="AAE828CC"/>
    <w:lvl w:ilvl="0" w:tplc="04070001">
      <w:start w:val="1"/>
      <w:numFmt w:val="bullet"/>
      <w:lvlText w:val=""/>
      <w:lvlJc w:val="left"/>
      <w:pPr>
        <w:ind w:left="360" w:hanging="360"/>
      </w:pPr>
      <w:rPr>
        <w:rFonts w:ascii="Symbol" w:hAnsi="Symbol" w:hint="default"/>
      </w:rPr>
    </w:lvl>
    <w:lvl w:ilvl="1" w:tplc="A1DA8F56">
      <w:numFmt w:val="bullet"/>
      <w:lvlText w:val="•"/>
      <w:lvlJc w:val="left"/>
      <w:pPr>
        <w:ind w:left="1080" w:hanging="360"/>
      </w:pPr>
      <w:rPr>
        <w:rFonts w:ascii="Calibri" w:eastAsiaTheme="minorHAnsi" w:hAnsi="Calibri" w:cs="Aria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5F41B76"/>
    <w:multiLevelType w:val="hybridMultilevel"/>
    <w:tmpl w:val="AFD4D5E8"/>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16992D59"/>
    <w:multiLevelType w:val="hybridMultilevel"/>
    <w:tmpl w:val="A7501F5C"/>
    <w:lvl w:ilvl="0" w:tplc="EEE683FC">
      <w:start w:val="1"/>
      <w:numFmt w:val="bullet"/>
      <w:lvlText w:val=""/>
      <w:lvlJc w:val="left"/>
      <w:pPr>
        <w:ind w:left="360" w:hanging="360"/>
      </w:pPr>
      <w:rPr>
        <w:rFonts w:ascii="Symbol" w:hAnsi="Symbol" w:hint="default"/>
      </w:rPr>
    </w:lvl>
    <w:lvl w:ilvl="1" w:tplc="EEE683FC">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1E194B37"/>
    <w:multiLevelType w:val="hybridMultilevel"/>
    <w:tmpl w:val="5FB2BD6A"/>
    <w:lvl w:ilvl="0" w:tplc="EEE683F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1F57E66"/>
    <w:multiLevelType w:val="hybridMultilevel"/>
    <w:tmpl w:val="B19C494E"/>
    <w:lvl w:ilvl="0" w:tplc="EEE683FC">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15:restartNumberingAfterBreak="0">
    <w:nsid w:val="31763D4A"/>
    <w:multiLevelType w:val="hybridMultilevel"/>
    <w:tmpl w:val="4ECA0E6A"/>
    <w:lvl w:ilvl="0" w:tplc="04070001">
      <w:start w:val="1"/>
      <w:numFmt w:val="bullet"/>
      <w:lvlText w:val=""/>
      <w:lvlJc w:val="left"/>
      <w:pPr>
        <w:tabs>
          <w:tab w:val="num" w:pos="838"/>
        </w:tabs>
        <w:ind w:left="838" w:hanging="360"/>
      </w:pPr>
      <w:rPr>
        <w:rFonts w:ascii="Symbol" w:hAnsi="Symbol" w:hint="default"/>
      </w:rPr>
    </w:lvl>
    <w:lvl w:ilvl="1" w:tplc="04070003" w:tentative="1">
      <w:start w:val="1"/>
      <w:numFmt w:val="bullet"/>
      <w:lvlText w:val="o"/>
      <w:lvlJc w:val="left"/>
      <w:pPr>
        <w:tabs>
          <w:tab w:val="num" w:pos="1558"/>
        </w:tabs>
        <w:ind w:left="1558" w:hanging="360"/>
      </w:pPr>
      <w:rPr>
        <w:rFonts w:ascii="Courier New" w:hAnsi="Courier New" w:cs="Courier New" w:hint="default"/>
      </w:rPr>
    </w:lvl>
    <w:lvl w:ilvl="2" w:tplc="04070005" w:tentative="1">
      <w:start w:val="1"/>
      <w:numFmt w:val="bullet"/>
      <w:lvlText w:val=""/>
      <w:lvlJc w:val="left"/>
      <w:pPr>
        <w:tabs>
          <w:tab w:val="num" w:pos="2278"/>
        </w:tabs>
        <w:ind w:left="2278" w:hanging="360"/>
      </w:pPr>
      <w:rPr>
        <w:rFonts w:ascii="Wingdings" w:hAnsi="Wingdings" w:hint="default"/>
      </w:rPr>
    </w:lvl>
    <w:lvl w:ilvl="3" w:tplc="04070001" w:tentative="1">
      <w:start w:val="1"/>
      <w:numFmt w:val="bullet"/>
      <w:lvlText w:val=""/>
      <w:lvlJc w:val="left"/>
      <w:pPr>
        <w:tabs>
          <w:tab w:val="num" w:pos="2998"/>
        </w:tabs>
        <w:ind w:left="2998" w:hanging="360"/>
      </w:pPr>
      <w:rPr>
        <w:rFonts w:ascii="Symbol" w:hAnsi="Symbol" w:hint="default"/>
      </w:rPr>
    </w:lvl>
    <w:lvl w:ilvl="4" w:tplc="04070003" w:tentative="1">
      <w:start w:val="1"/>
      <w:numFmt w:val="bullet"/>
      <w:lvlText w:val="o"/>
      <w:lvlJc w:val="left"/>
      <w:pPr>
        <w:tabs>
          <w:tab w:val="num" w:pos="3718"/>
        </w:tabs>
        <w:ind w:left="3718" w:hanging="360"/>
      </w:pPr>
      <w:rPr>
        <w:rFonts w:ascii="Courier New" w:hAnsi="Courier New" w:cs="Courier New" w:hint="default"/>
      </w:rPr>
    </w:lvl>
    <w:lvl w:ilvl="5" w:tplc="04070005" w:tentative="1">
      <w:start w:val="1"/>
      <w:numFmt w:val="bullet"/>
      <w:lvlText w:val=""/>
      <w:lvlJc w:val="left"/>
      <w:pPr>
        <w:tabs>
          <w:tab w:val="num" w:pos="4438"/>
        </w:tabs>
        <w:ind w:left="4438" w:hanging="360"/>
      </w:pPr>
      <w:rPr>
        <w:rFonts w:ascii="Wingdings" w:hAnsi="Wingdings" w:hint="default"/>
      </w:rPr>
    </w:lvl>
    <w:lvl w:ilvl="6" w:tplc="04070001" w:tentative="1">
      <w:start w:val="1"/>
      <w:numFmt w:val="bullet"/>
      <w:lvlText w:val=""/>
      <w:lvlJc w:val="left"/>
      <w:pPr>
        <w:tabs>
          <w:tab w:val="num" w:pos="5158"/>
        </w:tabs>
        <w:ind w:left="5158" w:hanging="360"/>
      </w:pPr>
      <w:rPr>
        <w:rFonts w:ascii="Symbol" w:hAnsi="Symbol" w:hint="default"/>
      </w:rPr>
    </w:lvl>
    <w:lvl w:ilvl="7" w:tplc="04070003" w:tentative="1">
      <w:start w:val="1"/>
      <w:numFmt w:val="bullet"/>
      <w:lvlText w:val="o"/>
      <w:lvlJc w:val="left"/>
      <w:pPr>
        <w:tabs>
          <w:tab w:val="num" w:pos="5878"/>
        </w:tabs>
        <w:ind w:left="5878" w:hanging="360"/>
      </w:pPr>
      <w:rPr>
        <w:rFonts w:ascii="Courier New" w:hAnsi="Courier New" w:cs="Courier New" w:hint="default"/>
      </w:rPr>
    </w:lvl>
    <w:lvl w:ilvl="8" w:tplc="04070005" w:tentative="1">
      <w:start w:val="1"/>
      <w:numFmt w:val="bullet"/>
      <w:lvlText w:val=""/>
      <w:lvlJc w:val="left"/>
      <w:pPr>
        <w:tabs>
          <w:tab w:val="num" w:pos="6598"/>
        </w:tabs>
        <w:ind w:left="6598" w:hanging="360"/>
      </w:pPr>
      <w:rPr>
        <w:rFonts w:ascii="Wingdings" w:hAnsi="Wingdings" w:hint="default"/>
      </w:rPr>
    </w:lvl>
  </w:abstractNum>
  <w:abstractNum w:abstractNumId="6" w15:restartNumberingAfterBreak="0">
    <w:nsid w:val="3B2C447C"/>
    <w:multiLevelType w:val="hybridMultilevel"/>
    <w:tmpl w:val="FCC83796"/>
    <w:lvl w:ilvl="0" w:tplc="EEE683FC">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7" w15:restartNumberingAfterBreak="0">
    <w:nsid w:val="427E1E06"/>
    <w:multiLevelType w:val="hybridMultilevel"/>
    <w:tmpl w:val="FDD6B20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3526DEB"/>
    <w:multiLevelType w:val="hybridMultilevel"/>
    <w:tmpl w:val="73E24036"/>
    <w:lvl w:ilvl="0" w:tplc="04070001">
      <w:start w:val="1"/>
      <w:numFmt w:val="bullet"/>
      <w:lvlText w:val=""/>
      <w:lvlJc w:val="left"/>
      <w:pPr>
        <w:tabs>
          <w:tab w:val="num" w:pos="720"/>
        </w:tabs>
        <w:ind w:left="720" w:hanging="360"/>
      </w:pPr>
      <w:rPr>
        <w:rFonts w:ascii="Symbol" w:hAnsi="Symbol" w:hint="default"/>
      </w:rPr>
    </w:lvl>
    <w:lvl w:ilvl="1" w:tplc="233ACF2A">
      <w:start w:val="3"/>
      <w:numFmt w:val="bullet"/>
      <w:lvlText w:val="-"/>
      <w:lvlJc w:val="left"/>
      <w:pPr>
        <w:tabs>
          <w:tab w:val="num" w:pos="1440"/>
        </w:tabs>
        <w:ind w:left="1440" w:hanging="360"/>
      </w:pPr>
      <w:rPr>
        <w:rFonts w:ascii="Arial" w:eastAsia="Times New Roman" w:hAnsi="Arial" w:cs="Times New Roman" w:hint="default"/>
      </w:rPr>
    </w:lvl>
    <w:lvl w:ilvl="2" w:tplc="04070001">
      <w:start w:val="1"/>
      <w:numFmt w:val="bullet"/>
      <w:lvlText w:val=""/>
      <w:lvlJc w:val="left"/>
      <w:pPr>
        <w:tabs>
          <w:tab w:val="num" w:pos="2160"/>
        </w:tabs>
        <w:ind w:left="2160" w:hanging="360"/>
      </w:pPr>
      <w:rPr>
        <w:rFonts w:ascii="Symbol" w:hAnsi="Symbol"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8A34FE8"/>
    <w:multiLevelType w:val="multilevel"/>
    <w:tmpl w:val="BF583468"/>
    <w:lvl w:ilvl="0">
      <w:start w:val="1"/>
      <w:numFmt w:val="bullet"/>
      <w:lvlText w:val=""/>
      <w:lvlJc w:val="left"/>
      <w:pPr>
        <w:tabs>
          <w:tab w:val="num" w:pos="720"/>
        </w:tabs>
        <w:ind w:left="720" w:hanging="360"/>
      </w:pPr>
      <w:rPr>
        <w:rFonts w:ascii="Symbol" w:hAnsi="Symbol" w:hint="default"/>
      </w:rPr>
    </w:lvl>
    <w:lvl w:ilvl="1">
      <w:start w:val="1"/>
      <w:numFmt w:val="decimal"/>
      <w:isLgl/>
      <w:lvlText w:val="%1.%2"/>
      <w:lvlJc w:val="left"/>
      <w:pPr>
        <w:tabs>
          <w:tab w:val="num" w:pos="720"/>
        </w:tabs>
        <w:ind w:left="720" w:hanging="360"/>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abstractNum w:abstractNumId="10" w15:restartNumberingAfterBreak="0">
    <w:nsid w:val="53413A6B"/>
    <w:multiLevelType w:val="hybridMultilevel"/>
    <w:tmpl w:val="941EE358"/>
    <w:lvl w:ilvl="0" w:tplc="04070001">
      <w:start w:val="1"/>
      <w:numFmt w:val="bullet"/>
      <w:lvlText w:val=""/>
      <w:lvlJc w:val="left"/>
      <w:pPr>
        <w:tabs>
          <w:tab w:val="num" w:pos="720"/>
        </w:tabs>
        <w:ind w:left="720" w:hanging="360"/>
      </w:pPr>
      <w:rPr>
        <w:rFonts w:ascii="Symbol" w:hAnsi="Symbol" w:hint="default"/>
      </w:rPr>
    </w:lvl>
    <w:lvl w:ilvl="1" w:tplc="233ACF2A">
      <w:start w:val="3"/>
      <w:numFmt w:val="bullet"/>
      <w:lvlText w:val="-"/>
      <w:lvlJc w:val="left"/>
      <w:pPr>
        <w:tabs>
          <w:tab w:val="num" w:pos="1440"/>
        </w:tabs>
        <w:ind w:left="1440" w:hanging="360"/>
      </w:pPr>
      <w:rPr>
        <w:rFonts w:ascii="Arial" w:eastAsia="Times New Roman" w:hAnsi="Arial" w:cs="Times New Roman" w:hint="default"/>
      </w:rPr>
    </w:lvl>
    <w:lvl w:ilvl="2" w:tplc="04070001">
      <w:start w:val="1"/>
      <w:numFmt w:val="bullet"/>
      <w:lvlText w:val=""/>
      <w:lvlJc w:val="left"/>
      <w:pPr>
        <w:tabs>
          <w:tab w:val="num" w:pos="2160"/>
        </w:tabs>
        <w:ind w:left="2160" w:hanging="360"/>
      </w:pPr>
      <w:rPr>
        <w:rFonts w:ascii="Symbol" w:hAnsi="Symbol"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3E40C04"/>
    <w:multiLevelType w:val="hybridMultilevel"/>
    <w:tmpl w:val="F93061FE"/>
    <w:lvl w:ilvl="0" w:tplc="AA4CBA6A">
      <w:start w:val="1"/>
      <w:numFmt w:val="decimal"/>
      <w:lvlText w:val="%1."/>
      <w:lvlJc w:val="left"/>
      <w:pPr>
        <w:ind w:left="1068" w:hanging="360"/>
      </w:pPr>
      <w:rPr>
        <w:rFonts w:hint="default"/>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12" w15:restartNumberingAfterBreak="0">
    <w:nsid w:val="56972224"/>
    <w:multiLevelType w:val="hybridMultilevel"/>
    <w:tmpl w:val="F3EAFBBC"/>
    <w:lvl w:ilvl="0" w:tplc="EEE683FC">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15:restartNumberingAfterBreak="0">
    <w:nsid w:val="5E5C42DC"/>
    <w:multiLevelType w:val="hybridMultilevel"/>
    <w:tmpl w:val="6BA657CA"/>
    <w:lvl w:ilvl="0" w:tplc="EEE683FC">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30C7E24"/>
    <w:multiLevelType w:val="hybridMultilevel"/>
    <w:tmpl w:val="0164B352"/>
    <w:lvl w:ilvl="0" w:tplc="EEE683FC">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58F7AD4"/>
    <w:multiLevelType w:val="hybridMultilevel"/>
    <w:tmpl w:val="EC7834D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68110F00"/>
    <w:multiLevelType w:val="hybridMultilevel"/>
    <w:tmpl w:val="5992A474"/>
    <w:lvl w:ilvl="0" w:tplc="04070001">
      <w:start w:val="1"/>
      <w:numFmt w:val="bullet"/>
      <w:lvlText w:val=""/>
      <w:lvlJc w:val="left"/>
      <w:pPr>
        <w:ind w:left="1788" w:hanging="360"/>
      </w:pPr>
      <w:rPr>
        <w:rFonts w:ascii="Symbol" w:hAnsi="Symbol" w:hint="default"/>
      </w:rPr>
    </w:lvl>
    <w:lvl w:ilvl="1" w:tplc="04070003" w:tentative="1">
      <w:start w:val="1"/>
      <w:numFmt w:val="bullet"/>
      <w:lvlText w:val="o"/>
      <w:lvlJc w:val="left"/>
      <w:pPr>
        <w:ind w:left="2508" w:hanging="360"/>
      </w:pPr>
      <w:rPr>
        <w:rFonts w:ascii="Courier New" w:hAnsi="Courier New" w:cs="Courier New" w:hint="default"/>
      </w:rPr>
    </w:lvl>
    <w:lvl w:ilvl="2" w:tplc="04070005" w:tentative="1">
      <w:start w:val="1"/>
      <w:numFmt w:val="bullet"/>
      <w:lvlText w:val=""/>
      <w:lvlJc w:val="left"/>
      <w:pPr>
        <w:ind w:left="3228" w:hanging="360"/>
      </w:pPr>
      <w:rPr>
        <w:rFonts w:ascii="Wingdings" w:hAnsi="Wingdings" w:hint="default"/>
      </w:rPr>
    </w:lvl>
    <w:lvl w:ilvl="3" w:tplc="04070001" w:tentative="1">
      <w:start w:val="1"/>
      <w:numFmt w:val="bullet"/>
      <w:lvlText w:val=""/>
      <w:lvlJc w:val="left"/>
      <w:pPr>
        <w:ind w:left="3948" w:hanging="360"/>
      </w:pPr>
      <w:rPr>
        <w:rFonts w:ascii="Symbol" w:hAnsi="Symbol" w:hint="default"/>
      </w:rPr>
    </w:lvl>
    <w:lvl w:ilvl="4" w:tplc="04070003" w:tentative="1">
      <w:start w:val="1"/>
      <w:numFmt w:val="bullet"/>
      <w:lvlText w:val="o"/>
      <w:lvlJc w:val="left"/>
      <w:pPr>
        <w:ind w:left="4668" w:hanging="360"/>
      </w:pPr>
      <w:rPr>
        <w:rFonts w:ascii="Courier New" w:hAnsi="Courier New" w:cs="Courier New" w:hint="default"/>
      </w:rPr>
    </w:lvl>
    <w:lvl w:ilvl="5" w:tplc="04070005" w:tentative="1">
      <w:start w:val="1"/>
      <w:numFmt w:val="bullet"/>
      <w:lvlText w:val=""/>
      <w:lvlJc w:val="left"/>
      <w:pPr>
        <w:ind w:left="5388" w:hanging="360"/>
      </w:pPr>
      <w:rPr>
        <w:rFonts w:ascii="Wingdings" w:hAnsi="Wingdings" w:hint="default"/>
      </w:rPr>
    </w:lvl>
    <w:lvl w:ilvl="6" w:tplc="04070001" w:tentative="1">
      <w:start w:val="1"/>
      <w:numFmt w:val="bullet"/>
      <w:lvlText w:val=""/>
      <w:lvlJc w:val="left"/>
      <w:pPr>
        <w:ind w:left="6108" w:hanging="360"/>
      </w:pPr>
      <w:rPr>
        <w:rFonts w:ascii="Symbol" w:hAnsi="Symbol" w:hint="default"/>
      </w:rPr>
    </w:lvl>
    <w:lvl w:ilvl="7" w:tplc="04070003" w:tentative="1">
      <w:start w:val="1"/>
      <w:numFmt w:val="bullet"/>
      <w:lvlText w:val="o"/>
      <w:lvlJc w:val="left"/>
      <w:pPr>
        <w:ind w:left="6828" w:hanging="360"/>
      </w:pPr>
      <w:rPr>
        <w:rFonts w:ascii="Courier New" w:hAnsi="Courier New" w:cs="Courier New" w:hint="default"/>
      </w:rPr>
    </w:lvl>
    <w:lvl w:ilvl="8" w:tplc="04070005" w:tentative="1">
      <w:start w:val="1"/>
      <w:numFmt w:val="bullet"/>
      <w:lvlText w:val=""/>
      <w:lvlJc w:val="left"/>
      <w:pPr>
        <w:ind w:left="7548" w:hanging="360"/>
      </w:pPr>
      <w:rPr>
        <w:rFonts w:ascii="Wingdings" w:hAnsi="Wingdings" w:hint="default"/>
      </w:rPr>
    </w:lvl>
  </w:abstractNum>
  <w:abstractNum w:abstractNumId="17" w15:restartNumberingAfterBreak="0">
    <w:nsid w:val="68B24EA2"/>
    <w:multiLevelType w:val="hybridMultilevel"/>
    <w:tmpl w:val="2050EC5C"/>
    <w:lvl w:ilvl="0" w:tplc="F280B1A2">
      <w:start w:val="2"/>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94C32AC"/>
    <w:multiLevelType w:val="hybridMultilevel"/>
    <w:tmpl w:val="FEEC6510"/>
    <w:lvl w:ilvl="0" w:tplc="04070001">
      <w:start w:val="1"/>
      <w:numFmt w:val="bullet"/>
      <w:lvlText w:val=""/>
      <w:lvlJc w:val="left"/>
      <w:pPr>
        <w:tabs>
          <w:tab w:val="num" w:pos="720"/>
        </w:tabs>
        <w:ind w:left="720" w:hanging="360"/>
      </w:pPr>
      <w:rPr>
        <w:rFonts w:ascii="Symbol" w:hAnsi="Symbol" w:hint="default"/>
      </w:rPr>
    </w:lvl>
    <w:lvl w:ilvl="1" w:tplc="233ACF2A">
      <w:start w:val="3"/>
      <w:numFmt w:val="bullet"/>
      <w:lvlText w:val="-"/>
      <w:lvlJc w:val="left"/>
      <w:pPr>
        <w:tabs>
          <w:tab w:val="num" w:pos="1440"/>
        </w:tabs>
        <w:ind w:left="1440" w:hanging="360"/>
      </w:pPr>
      <w:rPr>
        <w:rFonts w:ascii="Arial" w:eastAsia="Times New Roman" w:hAnsi="Arial" w:cs="Times New Roman" w:hint="default"/>
      </w:rPr>
    </w:lvl>
    <w:lvl w:ilvl="2" w:tplc="04070001">
      <w:start w:val="1"/>
      <w:numFmt w:val="bullet"/>
      <w:lvlText w:val=""/>
      <w:lvlJc w:val="left"/>
      <w:pPr>
        <w:tabs>
          <w:tab w:val="num" w:pos="2160"/>
        </w:tabs>
        <w:ind w:left="2160" w:hanging="360"/>
      </w:pPr>
      <w:rPr>
        <w:rFonts w:ascii="Symbol" w:hAnsi="Symbol" w:hint="default"/>
      </w:rPr>
    </w:lvl>
    <w:lvl w:ilvl="3" w:tplc="04070001">
      <w:start w:val="1"/>
      <w:numFmt w:val="bullet"/>
      <w:lvlText w:val=""/>
      <w:lvlJc w:val="left"/>
      <w:pPr>
        <w:tabs>
          <w:tab w:val="num" w:pos="2880"/>
        </w:tabs>
        <w:ind w:left="2880" w:hanging="360"/>
      </w:pPr>
      <w:rPr>
        <w:rFonts w:ascii="Symbol" w:hAnsi="Symbol" w:hint="default"/>
      </w:rPr>
    </w:lvl>
    <w:lvl w:ilvl="4" w:tplc="04070003">
      <w:start w:val="1"/>
      <w:numFmt w:val="bullet"/>
      <w:lvlText w:val="o"/>
      <w:lvlJc w:val="left"/>
      <w:pPr>
        <w:tabs>
          <w:tab w:val="num" w:pos="3600"/>
        </w:tabs>
        <w:ind w:left="3600" w:hanging="360"/>
      </w:pPr>
      <w:rPr>
        <w:rFonts w:ascii="Courier New" w:hAnsi="Courier New" w:cs="Times New Roman" w:hint="default"/>
      </w:rPr>
    </w:lvl>
    <w:lvl w:ilvl="5" w:tplc="04070005">
      <w:start w:val="1"/>
      <w:numFmt w:val="bullet"/>
      <w:lvlText w:val=""/>
      <w:lvlJc w:val="left"/>
      <w:pPr>
        <w:tabs>
          <w:tab w:val="num" w:pos="4320"/>
        </w:tabs>
        <w:ind w:left="4320" w:hanging="360"/>
      </w:pPr>
      <w:rPr>
        <w:rFonts w:ascii="Wingdings" w:hAnsi="Wingdings" w:hint="default"/>
      </w:rPr>
    </w:lvl>
    <w:lvl w:ilvl="6" w:tplc="04070001">
      <w:start w:val="1"/>
      <w:numFmt w:val="bullet"/>
      <w:lvlText w:val=""/>
      <w:lvlJc w:val="left"/>
      <w:pPr>
        <w:tabs>
          <w:tab w:val="num" w:pos="5040"/>
        </w:tabs>
        <w:ind w:left="5040" w:hanging="360"/>
      </w:pPr>
      <w:rPr>
        <w:rFonts w:ascii="Symbol" w:hAnsi="Symbol" w:hint="default"/>
      </w:rPr>
    </w:lvl>
    <w:lvl w:ilvl="7" w:tplc="04070003">
      <w:start w:val="1"/>
      <w:numFmt w:val="bullet"/>
      <w:lvlText w:val="o"/>
      <w:lvlJc w:val="left"/>
      <w:pPr>
        <w:tabs>
          <w:tab w:val="num" w:pos="5760"/>
        </w:tabs>
        <w:ind w:left="5760" w:hanging="360"/>
      </w:pPr>
      <w:rPr>
        <w:rFonts w:ascii="Courier New" w:hAnsi="Courier New" w:cs="Times New Roman" w:hint="default"/>
      </w:rPr>
    </w:lvl>
    <w:lvl w:ilvl="8" w:tplc="0407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D033EA0"/>
    <w:multiLevelType w:val="hybridMultilevel"/>
    <w:tmpl w:val="A2FAC6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6"/>
  </w:num>
  <w:num w:numId="4">
    <w:abstractNumId w:val="4"/>
  </w:num>
  <w:num w:numId="5">
    <w:abstractNumId w:val="10"/>
  </w:num>
  <w:num w:numId="6">
    <w:abstractNumId w:val="18"/>
  </w:num>
  <w:num w:numId="7">
    <w:abstractNumId w:val="7"/>
  </w:num>
  <w:num w:numId="8">
    <w:abstractNumId w:val="19"/>
  </w:num>
  <w:num w:numId="9">
    <w:abstractNumId w:val="15"/>
  </w:num>
  <w:num w:numId="10">
    <w:abstractNumId w:val="12"/>
  </w:num>
  <w:num w:numId="11">
    <w:abstractNumId w:val="1"/>
  </w:num>
  <w:num w:numId="12">
    <w:abstractNumId w:val="14"/>
  </w:num>
  <w:num w:numId="13">
    <w:abstractNumId w:val="3"/>
  </w:num>
  <w:num w:numId="14">
    <w:abstractNumId w:val="2"/>
  </w:num>
  <w:num w:numId="15">
    <w:abstractNumId w:val="13"/>
  </w:num>
  <w:num w:numId="16">
    <w:abstractNumId w:val="5"/>
  </w:num>
  <w:num w:numId="17">
    <w:abstractNumId w:val="0"/>
  </w:num>
  <w:num w:numId="18">
    <w:abstractNumId w:val="11"/>
  </w:num>
  <w:num w:numId="19">
    <w:abstractNumId w:val="1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5:docId w15:val="{CD8B1DA9-0312-4F10-B13B-1023ABA74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9"/>
    <w:qFormat/>
    <w:pPr>
      <w:keepNext/>
      <w:spacing w:before="360" w:after="120"/>
      <w:outlineLvl w:val="1"/>
    </w:pPr>
    <w:rPr>
      <w:rFonts w:ascii="Arial" w:eastAsia="Times New Roman" w:hAnsi="Arial" w:cs="Arial"/>
      <w:b/>
      <w:b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basedOn w:val="Absatz-Standardschriftart"/>
    <w:link w:val="Fuzeile"/>
    <w:uiPriority w:val="99"/>
  </w:style>
  <w:style w:type="paragraph" w:styleId="Textkrper">
    <w:name w:val="Body Text"/>
    <w:basedOn w:val="Standard"/>
    <w:link w:val="TextkrperZchn"/>
    <w:uiPriority w:val="99"/>
    <w:pPr>
      <w:jc w:val="both"/>
    </w:pPr>
    <w:rPr>
      <w:rFonts w:ascii="Arial" w:eastAsia="Times New Roman" w:hAnsi="Arial" w:cs="Arial"/>
      <w:sz w:val="20"/>
      <w:szCs w:val="20"/>
      <w:lang w:eastAsia="de-DE"/>
    </w:rPr>
  </w:style>
  <w:style w:type="character" w:customStyle="1" w:styleId="TextkrperZchn">
    <w:name w:val="Textkörper Zchn"/>
    <w:basedOn w:val="Absatz-Standardschriftart"/>
    <w:link w:val="Textkrper"/>
    <w:uiPriority w:val="99"/>
    <w:rPr>
      <w:rFonts w:ascii="Arial" w:eastAsia="Times New Roman" w:hAnsi="Arial" w:cs="Arial"/>
      <w:sz w:val="20"/>
      <w:szCs w:val="20"/>
      <w:lang w:eastAsia="de-DE"/>
    </w:rPr>
  </w:style>
  <w:style w:type="paragraph" w:customStyle="1" w:styleId="Default">
    <w:name w:val="Default"/>
    <w:pPr>
      <w:widowControl w:val="0"/>
      <w:autoSpaceDE w:val="0"/>
      <w:autoSpaceDN w:val="0"/>
      <w:adjustRightInd w:val="0"/>
    </w:pPr>
    <w:rPr>
      <w:rFonts w:ascii="Calibri" w:eastAsia="Times New Roman" w:hAnsi="Calibri" w:cs="Calibri"/>
      <w:color w:val="000000"/>
      <w:sz w:val="24"/>
      <w:szCs w:val="24"/>
      <w:lang w:eastAsia="de-DE"/>
    </w:rPr>
  </w:style>
  <w:style w:type="character" w:customStyle="1" w:styleId="berschrift2Zchn">
    <w:name w:val="Überschrift 2 Zchn"/>
    <w:basedOn w:val="Absatz-Standardschriftart"/>
    <w:link w:val="berschrift2"/>
    <w:uiPriority w:val="99"/>
    <w:rPr>
      <w:rFonts w:ascii="Arial" w:eastAsia="Times New Roman" w:hAnsi="Arial" w:cs="Arial"/>
      <w:b/>
      <w:bCs/>
      <w:lang w:eastAsia="de-DE"/>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character" w:customStyle="1" w:styleId="evzaehlung">
    <w:name w:val="ev_zaehlung"/>
    <w:basedOn w:val="Absatz-Standardschriftart"/>
  </w:style>
  <w:style w:type="character" w:customStyle="1" w:styleId="gesetznormueberschrift">
    <w:name w:val="gesetz_normueberschrift"/>
    <w:basedOn w:val="Absatz-Standardschriftar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BE7C3E-4ED3-4933-A7A2-4B87CC16C9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4075</Words>
  <Characters>25673</Characters>
  <Application>Microsoft Office Word</Application>
  <DocSecurity>0</DocSecurity>
  <Lines>213</Lines>
  <Paragraphs>59</Paragraphs>
  <ScaleCrop>false</ScaleCrop>
  <HeadingPairs>
    <vt:vector size="2" baseType="variant">
      <vt:variant>
        <vt:lpstr>Titel</vt:lpstr>
      </vt:variant>
      <vt:variant>
        <vt:i4>1</vt:i4>
      </vt:variant>
    </vt:vector>
  </HeadingPairs>
  <TitlesOfParts>
    <vt:vector size="1" baseType="lpstr">
      <vt:lpstr/>
    </vt:vector>
  </TitlesOfParts>
  <Company>Landkreis Göttingen</Company>
  <LinksUpToDate>false</LinksUpToDate>
  <CharactersWithSpaces>29689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Patzwall Karin</dc:creator>
  <cp:lastModifiedBy>Haring, Thomas</cp:lastModifiedBy>
  <cp:revision>38</cp:revision>
  <cp:lastPrinted>2026-06-02T09:33:00Z</cp:lastPrinted>
  <dcterms:created xsi:type="dcterms:W3CDTF">2017-02-15T10:41:00Z</dcterms:created>
  <dcterms:modified xsi:type="dcterms:W3CDTF">2026-06-02T09:43:00Z</dcterms:modified>
</cp:coreProperties>
</file>