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Maler- und Lackierarbeiten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ZVS-2025-035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Rahmenvertrag Maler- und Lackierarbeiten gemäß Standartleistungsbuch (StLB) 663.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