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15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K / BB / 8070 / Straßensan. div. / Ausführung Tiefbau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Straßen- und Tiefbauarbeiten
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