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5-168-Ö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Oberflächenwiederherstellung nach Aufbrüchen 2026/2027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Oberflächenwiederherstellung nach Aufbrüchen 2026/2027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