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5-168-Ö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Oberflächenwiederherstellung nach Aufbrüchen 2026/2027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Oberflächenwiederherstellung nach Aufbrüchen 2026/2027.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