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46A39915" w14:textId="44621178" w:rsidR="0025396B" w:rsidRPr="00C4284A" w:rsidRDefault="0025396B" w:rsidP="0025396B">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w:t>
      </w:r>
      <w:r>
        <w:rPr>
          <w:color w:val="auto"/>
          <w:sz w:val="20"/>
          <w:szCs w:val="20"/>
        </w:rPr>
        <w:t> </w:t>
      </w:r>
      <w:r>
        <w:rPr>
          <w:color w:val="auto"/>
          <w:sz w:val="20"/>
          <w:szCs w:val="20"/>
        </w:rPr>
        <w:t>299a und 299b des Strafgesetzbuchs (Bestechlichkeit und Bestechung im Gesundheitswesen)</w:t>
      </w:r>
      <w:r w:rsidRPr="00C4284A">
        <w:rPr>
          <w:color w:val="auto"/>
          <w:sz w:val="20"/>
          <w:szCs w:val="20"/>
        </w:rPr>
        <w:t>,</w:t>
      </w:r>
    </w:p>
    <w:p w14:paraId="0D348F27" w14:textId="77777777" w:rsidR="0025396B" w:rsidRPr="00C4284A" w:rsidRDefault="0025396B" w:rsidP="0025396B">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Pr>
          <w:color w:val="auto"/>
          <w:sz w:val="20"/>
          <w:szCs w:val="20"/>
        </w:rPr>
        <w:t>) oder § 108f des Strafgesetzbuchs (unzulässige Interessenwahrnehmung),</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3B159D5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25396B">
      <w:rPr>
        <w:rFonts w:eastAsia="Times New Roman" w:cs="Arial"/>
        <w:szCs w:val="20"/>
        <w:lang w:eastAsia="de-DE"/>
      </w:rPr>
      <w:t>8</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5396B"/>
    <w:rsid w:val="0026517C"/>
    <w:rsid w:val="00275109"/>
    <w:rsid w:val="00293EF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Löhndorf, Nicole (FM, REF IV B 6)</cp:lastModifiedBy>
  <cp:revision>2</cp:revision>
  <cp:lastPrinted>2024-03-15T08:38:00Z</cp:lastPrinted>
  <dcterms:created xsi:type="dcterms:W3CDTF">2024-08-14T10:38:00Z</dcterms:created>
  <dcterms:modified xsi:type="dcterms:W3CDTF">2024-08-14T10:38:00Z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