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KeinLeerraum"/>
        <w:spacing w:line="276" w:lineRule="auto"/>
        <w:contextualSpacing/>
        <w:jc w:val="center"/>
        <w:rPr>
          <w:rFonts w:ascii="Arial" w:hAnsi="Arial" w:cs="Arial"/>
          <w:b/>
        </w:rPr>
      </w:pPr>
      <w:r>
        <w:rPr>
          <w:rFonts w:ascii="Arial" w:hAnsi="Arial" w:cs="Arial"/>
          <w:b/>
        </w:rPr>
        <w:t>Offenes Verfahren</w:t>
      </w:r>
    </w:p>
    <w:p>
      <w:pPr>
        <w:pStyle w:val="KeinLeerraum"/>
        <w:spacing w:line="276" w:lineRule="auto"/>
        <w:contextualSpacing/>
        <w:jc w:val="center"/>
        <w:rPr>
          <w:rFonts w:ascii="Arial" w:hAnsi="Arial" w:cs="Arial"/>
          <w:b/>
        </w:rPr>
      </w:pPr>
    </w:p>
    <w:p>
      <w:pPr>
        <w:spacing w:line="276" w:lineRule="auto"/>
        <w:contextualSpacing/>
        <w:jc w:val="center"/>
        <w:rPr>
          <w:rFonts w:cs="Arial"/>
          <w:b/>
        </w:rPr>
      </w:pPr>
      <w:r>
        <w:rPr>
          <w:rFonts w:cs="Arial"/>
          <w:b/>
        </w:rPr>
        <w:t>„Rahmenvertrag Büromöbel 2026“</w:t>
      </w:r>
    </w:p>
    <w:p>
      <w:pPr>
        <w:spacing w:line="276" w:lineRule="auto"/>
        <w:contextualSpacing/>
        <w:jc w:val="center"/>
        <w:rPr>
          <w:rFonts w:cs="Arial"/>
          <w:b/>
        </w:rPr>
      </w:pPr>
    </w:p>
    <w:p>
      <w:pPr>
        <w:pStyle w:val="KeinLeerraum"/>
        <w:spacing w:line="276" w:lineRule="auto"/>
        <w:contextualSpacing/>
        <w:jc w:val="center"/>
        <w:rPr>
          <w:rFonts w:ascii="Arial" w:hAnsi="Arial" w:cs="Arial"/>
          <w:b/>
        </w:rPr>
      </w:pPr>
      <w:r>
        <w:rPr>
          <w:rFonts w:ascii="Arial" w:hAnsi="Arial" w:cs="Arial"/>
          <w:b/>
        </w:rPr>
        <w:t>nach</w:t>
      </w:r>
    </w:p>
    <w:p>
      <w:pPr>
        <w:pStyle w:val="KeinLeerraum"/>
        <w:spacing w:line="276" w:lineRule="auto"/>
        <w:contextualSpacing/>
        <w:jc w:val="center"/>
        <w:rPr>
          <w:rFonts w:ascii="Arial" w:hAnsi="Arial" w:cs="Arial"/>
        </w:rPr>
      </w:pPr>
      <w:r>
        <w:rPr>
          <w:rFonts w:ascii="Arial" w:hAnsi="Arial" w:cs="Arial"/>
          <w:b/>
        </w:rPr>
        <w:t>§§ 97 ff. GWB, §§ 15, 21 VgV</w:t>
      </w:r>
    </w:p>
    <w:p>
      <w:pPr>
        <w:spacing w:line="276" w:lineRule="auto"/>
        <w:contextualSpacing/>
        <w:jc w:val="center"/>
        <w:rPr>
          <w:rFonts w:cs="Arial"/>
          <w:b/>
        </w:rPr>
      </w:pPr>
    </w:p>
    <w:p>
      <w:pPr>
        <w:spacing w:line="276" w:lineRule="auto"/>
        <w:contextualSpacing/>
        <w:jc w:val="center"/>
        <w:rPr>
          <w:rFonts w:cs="Arial"/>
          <w:b/>
        </w:rPr>
      </w:pPr>
      <w:r>
        <w:rPr>
          <w:rFonts w:cs="Arial"/>
          <w:b/>
        </w:rPr>
        <w:t>Vergabe- Nr</w:t>
      </w:r>
      <w:r>
        <w:rPr>
          <w:rFonts w:cs="Arial"/>
          <w:b/>
          <w:color w:val="000000" w:themeColor="text1"/>
        </w:rPr>
        <w:t>.: 2026-03-00</w:t>
      </w:r>
      <w:r>
        <w:rPr>
          <w:rFonts w:cs="Arial"/>
          <w:b/>
        </w:rPr>
        <w:t>03</w:t>
      </w:r>
    </w:p>
    <w:p>
      <w:pPr>
        <w:spacing w:line="276" w:lineRule="auto"/>
        <w:contextualSpacing/>
        <w:jc w:val="both"/>
        <w:rPr>
          <w:rFonts w:cs="Arial"/>
          <w:b/>
        </w:rPr>
      </w:pPr>
    </w:p>
    <w:p>
      <w:pPr>
        <w:pStyle w:val="KeinLeerraum"/>
        <w:spacing w:line="276" w:lineRule="auto"/>
        <w:contextualSpacing/>
        <w:jc w:val="both"/>
        <w:rPr>
          <w:rFonts w:ascii="Arial" w:hAnsi="Arial" w:cs="Arial"/>
        </w:rPr>
      </w:pPr>
    </w:p>
    <w:p>
      <w:pPr>
        <w:autoSpaceDE w:val="0"/>
        <w:autoSpaceDN w:val="0"/>
        <w:adjustRightInd w:val="0"/>
        <w:spacing w:after="9"/>
        <w:ind w:left="142"/>
        <w:jc w:val="both"/>
        <w:rPr>
          <w:rFonts w:cs="Arial"/>
          <w:b/>
          <w:u w:val="single"/>
        </w:rPr>
      </w:pPr>
      <w:r>
        <w:rPr>
          <w:rFonts w:cs="Arial"/>
          <w:b/>
          <w:u w:val="single"/>
        </w:rPr>
        <w:t>Fristen in diesem Vergabeverfahren gemäß § 15 VgV (Offenes Verfahren):</w:t>
      </w:r>
    </w:p>
    <w:p>
      <w:pPr>
        <w:autoSpaceDE w:val="0"/>
        <w:autoSpaceDN w:val="0"/>
        <w:adjustRightInd w:val="0"/>
        <w:spacing w:after="9"/>
        <w:ind w:left="142"/>
        <w:jc w:val="both"/>
        <w:rPr>
          <w:rFonts w:cs="Arial"/>
        </w:rPr>
      </w:pPr>
    </w:p>
    <w:p>
      <w:pPr>
        <w:numPr>
          <w:ilvl w:val="1"/>
          <w:numId w:val="16"/>
        </w:numPr>
        <w:autoSpaceDE w:val="0"/>
        <w:autoSpaceDN w:val="0"/>
        <w:adjustRightInd w:val="0"/>
        <w:spacing w:after="9"/>
        <w:ind w:left="426" w:hanging="284"/>
        <w:jc w:val="both"/>
        <w:rPr>
          <w:rFonts w:cs="Arial"/>
        </w:rPr>
      </w:pPr>
      <w:r>
        <w:rPr>
          <w:rFonts w:cs="Arial"/>
        </w:rPr>
        <w:t xml:space="preserve">Die Frist für die </w:t>
      </w:r>
      <w:r>
        <w:rPr>
          <w:rFonts w:cs="Arial"/>
          <w:b/>
          <w:bCs/>
        </w:rPr>
        <w:t>Angebotsabgabe</w:t>
      </w:r>
      <w:r>
        <w:rPr>
          <w:rFonts w:cs="Arial"/>
        </w:rPr>
        <w:t xml:space="preserve">, die </w:t>
      </w:r>
      <w:r>
        <w:rPr>
          <w:rFonts w:cs="Arial"/>
          <w:b/>
          <w:bCs/>
        </w:rPr>
        <w:t>Bindefrist</w:t>
      </w:r>
      <w:r>
        <w:rPr>
          <w:rFonts w:cs="Arial"/>
        </w:rPr>
        <w:t xml:space="preserve"> und der </w:t>
      </w:r>
      <w:r>
        <w:rPr>
          <w:rFonts w:cs="Arial"/>
          <w:b/>
          <w:bCs/>
        </w:rPr>
        <w:t>Beginn der Ausführungsfrist</w:t>
      </w:r>
      <w:r>
        <w:rPr>
          <w:rFonts w:cs="Arial"/>
        </w:rPr>
        <w:t xml:space="preserve"> sind prinzipiell verbindlich. </w:t>
      </w:r>
    </w:p>
    <w:p>
      <w:pPr>
        <w:numPr>
          <w:ilvl w:val="1"/>
          <w:numId w:val="16"/>
        </w:numPr>
        <w:autoSpaceDE w:val="0"/>
        <w:autoSpaceDN w:val="0"/>
        <w:adjustRightInd w:val="0"/>
        <w:spacing w:after="9"/>
        <w:ind w:left="426" w:hanging="284"/>
        <w:jc w:val="both"/>
        <w:rPr>
          <w:rFonts w:cs="Arial"/>
        </w:rPr>
      </w:pPr>
      <w:r>
        <w:rPr>
          <w:rFonts w:cs="Arial"/>
        </w:rPr>
        <w:t xml:space="preserve">Grundsätzlich verbindlich sind der Schlusstermin für die Möglichkeit, Bieterfragen zu stellen und der </w:t>
      </w:r>
      <w:r>
        <w:t xml:space="preserve">späteste Termin für Antworten auf Bieterfragen. </w:t>
      </w:r>
    </w:p>
    <w:p>
      <w:pPr>
        <w:numPr>
          <w:ilvl w:val="1"/>
          <w:numId w:val="16"/>
        </w:numPr>
        <w:autoSpaceDE w:val="0"/>
        <w:autoSpaceDN w:val="0"/>
        <w:adjustRightInd w:val="0"/>
        <w:spacing w:after="9"/>
        <w:ind w:left="426" w:hanging="284"/>
        <w:jc w:val="both"/>
        <w:rPr>
          <w:rFonts w:cs="Arial"/>
        </w:rPr>
      </w:pPr>
      <w:r>
        <w:rPr>
          <w:rFonts w:cs="Arial"/>
        </w:rPr>
        <w:t>Hinsichtlich der weiteren, unten genannten Fristen wird darauf hingewiesen, dass es sich um zeitliche Orientierungswerte handelt, die möglichst erreicht werden sollten und die aus Transparenzgründen für die Bieter bekanntgegeben werden.</w:t>
      </w:r>
    </w:p>
    <w:p>
      <w:pPr>
        <w:spacing w:line="276" w:lineRule="auto"/>
        <w:contextualSpacing/>
        <w:jc w:val="both"/>
        <w:rPr>
          <w:rFonts w:cs="Arial"/>
        </w:rPr>
      </w:pPr>
    </w:p>
    <w:p>
      <w:pPr>
        <w:ind w:left="567"/>
        <w:rPr>
          <w:sz w:val="20"/>
        </w:rPr>
      </w:pPr>
    </w:p>
    <w:tbl>
      <w:tblPr>
        <w:tblStyle w:val="Tabellenraster"/>
        <w:tblW w:w="0" w:type="auto"/>
        <w:tblInd w:w="567" w:type="dxa"/>
        <w:tblLook w:val="04A0" w:firstRow="1" w:lastRow="0" w:firstColumn="1" w:lastColumn="0" w:noHBand="0" w:noVBand="1"/>
      </w:tblPr>
      <w:tblGrid>
        <w:gridCol w:w="3256"/>
        <w:gridCol w:w="2126"/>
        <w:gridCol w:w="2551"/>
      </w:tblGrid>
      <w:tr>
        <w:tc>
          <w:tcPr>
            <w:tcW w:w="3256" w:type="dxa"/>
          </w:tcPr>
          <w:p>
            <w:pPr>
              <w:rPr>
                <w:sz w:val="20"/>
              </w:rPr>
            </w:pPr>
            <w:r>
              <w:rPr>
                <w:b/>
                <w:bCs/>
                <w:sz w:val="20"/>
              </w:rPr>
              <w:t xml:space="preserve">Ereignis/Frist </w:t>
            </w:r>
          </w:p>
        </w:tc>
        <w:tc>
          <w:tcPr>
            <w:tcW w:w="2126" w:type="dxa"/>
          </w:tcPr>
          <w:p>
            <w:pPr>
              <w:rPr>
                <w:b/>
                <w:bCs/>
                <w:sz w:val="20"/>
              </w:rPr>
            </w:pPr>
            <w:r>
              <w:rPr>
                <w:b/>
                <w:bCs/>
                <w:sz w:val="20"/>
              </w:rPr>
              <w:t>Dauer</w:t>
            </w:r>
          </w:p>
        </w:tc>
        <w:tc>
          <w:tcPr>
            <w:tcW w:w="2551" w:type="dxa"/>
          </w:tcPr>
          <w:p>
            <w:pPr>
              <w:rPr>
                <w:sz w:val="20"/>
              </w:rPr>
            </w:pPr>
            <w:r>
              <w:rPr>
                <w:b/>
                <w:bCs/>
                <w:sz w:val="20"/>
              </w:rPr>
              <w:t>Deadline</w:t>
            </w:r>
          </w:p>
        </w:tc>
      </w:tr>
      <w:tr>
        <w:tc>
          <w:tcPr>
            <w:tcW w:w="3256" w:type="dxa"/>
          </w:tcPr>
          <w:p>
            <w:pPr>
              <w:rPr>
                <w:sz w:val="20"/>
              </w:rPr>
            </w:pPr>
            <w:r>
              <w:rPr>
                <w:sz w:val="20"/>
              </w:rPr>
              <w:t>Veröffentlichung</w:t>
            </w:r>
          </w:p>
        </w:tc>
        <w:tc>
          <w:tcPr>
            <w:tcW w:w="2126" w:type="dxa"/>
          </w:tcPr>
          <w:p>
            <w:pPr>
              <w:rPr>
                <w:sz w:val="20"/>
                <w:highlight w:val="yellow"/>
              </w:rPr>
            </w:pPr>
          </w:p>
        </w:tc>
        <w:tc>
          <w:tcPr>
            <w:tcW w:w="2551" w:type="dxa"/>
            <w:shd w:val="clear" w:color="auto" w:fill="auto"/>
          </w:tcPr>
          <w:p>
            <w:pPr>
              <w:rPr>
                <w:sz w:val="20"/>
              </w:rPr>
            </w:pPr>
            <w:r>
              <w:rPr>
                <w:sz w:val="20"/>
              </w:rPr>
              <w:t>30.01.2026</w:t>
            </w:r>
          </w:p>
        </w:tc>
      </w:tr>
      <w:tr>
        <w:tc>
          <w:tcPr>
            <w:tcW w:w="3256" w:type="dxa"/>
          </w:tcPr>
          <w:p>
            <w:pPr>
              <w:rPr>
                <w:sz w:val="20"/>
              </w:rPr>
            </w:pPr>
            <w:r>
              <w:rPr>
                <w:sz w:val="20"/>
              </w:rPr>
              <w:t>Schlusstermin für die Möglichkeit, Bieterfragen zu stellen</w:t>
            </w:r>
          </w:p>
        </w:tc>
        <w:tc>
          <w:tcPr>
            <w:tcW w:w="2126" w:type="dxa"/>
          </w:tcPr>
          <w:p>
            <w:pPr>
              <w:rPr>
                <w:sz w:val="20"/>
                <w:highlight w:val="yellow"/>
              </w:rPr>
            </w:pPr>
          </w:p>
        </w:tc>
        <w:tc>
          <w:tcPr>
            <w:tcW w:w="2551" w:type="dxa"/>
          </w:tcPr>
          <w:p>
            <w:pPr>
              <w:rPr>
                <w:sz w:val="20"/>
              </w:rPr>
            </w:pPr>
            <w:r>
              <w:rPr>
                <w:sz w:val="20"/>
              </w:rPr>
              <w:t>25.02.2026</w:t>
            </w:r>
          </w:p>
        </w:tc>
      </w:tr>
      <w:tr>
        <w:tc>
          <w:tcPr>
            <w:tcW w:w="3256" w:type="dxa"/>
          </w:tcPr>
          <w:p>
            <w:pPr>
              <w:rPr>
                <w:sz w:val="20"/>
              </w:rPr>
            </w:pPr>
            <w:r>
              <w:rPr>
                <w:sz w:val="20"/>
              </w:rPr>
              <w:t xml:space="preserve">Spätester Termin für Antworten auf Bieterfragen </w:t>
            </w:r>
          </w:p>
        </w:tc>
        <w:tc>
          <w:tcPr>
            <w:tcW w:w="2126" w:type="dxa"/>
          </w:tcPr>
          <w:p>
            <w:pPr>
              <w:rPr>
                <w:sz w:val="20"/>
                <w:highlight w:val="yellow"/>
              </w:rPr>
            </w:pPr>
          </w:p>
        </w:tc>
        <w:tc>
          <w:tcPr>
            <w:tcW w:w="2551" w:type="dxa"/>
          </w:tcPr>
          <w:p>
            <w:pPr>
              <w:rPr>
                <w:sz w:val="20"/>
              </w:rPr>
            </w:pPr>
            <w:r>
              <w:rPr>
                <w:sz w:val="20"/>
              </w:rPr>
              <w:t xml:space="preserve">27.02.2026 </w:t>
            </w:r>
          </w:p>
        </w:tc>
      </w:tr>
      <w:tr>
        <w:tc>
          <w:tcPr>
            <w:tcW w:w="3256" w:type="dxa"/>
          </w:tcPr>
          <w:p>
            <w:pPr>
              <w:rPr>
                <w:b/>
                <w:bCs/>
                <w:sz w:val="20"/>
              </w:rPr>
            </w:pPr>
            <w:r>
              <w:rPr>
                <w:b/>
                <w:bCs/>
                <w:sz w:val="20"/>
              </w:rPr>
              <w:t xml:space="preserve">Angebotsfrist </w:t>
            </w:r>
          </w:p>
        </w:tc>
        <w:tc>
          <w:tcPr>
            <w:tcW w:w="2126" w:type="dxa"/>
          </w:tcPr>
          <w:p>
            <w:pPr>
              <w:rPr>
                <w:b/>
                <w:bCs/>
                <w:sz w:val="20"/>
              </w:rPr>
            </w:pPr>
            <w:r>
              <w:rPr>
                <w:b/>
                <w:bCs/>
                <w:sz w:val="20"/>
              </w:rPr>
              <w:t>30 Tage</w:t>
            </w:r>
          </w:p>
        </w:tc>
        <w:tc>
          <w:tcPr>
            <w:tcW w:w="2551" w:type="dxa"/>
          </w:tcPr>
          <w:p>
            <w:pPr>
              <w:rPr>
                <w:b/>
                <w:bCs/>
                <w:sz w:val="20"/>
              </w:rPr>
            </w:pPr>
            <w:r>
              <w:rPr>
                <w:b/>
                <w:bCs/>
                <w:sz w:val="20"/>
              </w:rPr>
              <w:t xml:space="preserve">01.03.2026, 23.59 Uhr </w:t>
            </w:r>
          </w:p>
        </w:tc>
      </w:tr>
      <w:tr>
        <w:tc>
          <w:tcPr>
            <w:tcW w:w="3256" w:type="dxa"/>
          </w:tcPr>
          <w:p>
            <w:pPr>
              <w:rPr>
                <w:b/>
                <w:bCs/>
                <w:sz w:val="20"/>
              </w:rPr>
            </w:pPr>
            <w:r>
              <w:rPr>
                <w:b/>
                <w:bCs/>
                <w:sz w:val="20"/>
              </w:rPr>
              <w:t>Bindefrist</w:t>
            </w:r>
          </w:p>
        </w:tc>
        <w:tc>
          <w:tcPr>
            <w:tcW w:w="2126" w:type="dxa"/>
          </w:tcPr>
          <w:p>
            <w:pPr>
              <w:rPr>
                <w:b/>
                <w:bCs/>
                <w:sz w:val="20"/>
              </w:rPr>
            </w:pPr>
          </w:p>
        </w:tc>
        <w:tc>
          <w:tcPr>
            <w:tcW w:w="2551" w:type="dxa"/>
          </w:tcPr>
          <w:p>
            <w:pPr>
              <w:rPr>
                <w:b/>
                <w:bCs/>
                <w:sz w:val="20"/>
              </w:rPr>
            </w:pPr>
            <w:r>
              <w:rPr>
                <w:b/>
                <w:bCs/>
                <w:sz w:val="20"/>
              </w:rPr>
              <w:t xml:space="preserve">31.12.2026 </w:t>
            </w:r>
          </w:p>
        </w:tc>
      </w:tr>
      <w:tr>
        <w:tc>
          <w:tcPr>
            <w:tcW w:w="3256" w:type="dxa"/>
          </w:tcPr>
          <w:p>
            <w:pPr>
              <w:rPr>
                <w:sz w:val="20"/>
              </w:rPr>
            </w:pPr>
            <w:r>
              <w:rPr>
                <w:sz w:val="20"/>
              </w:rPr>
              <w:t>Vorabinformation an die abzusagenden Bieter und den vssl. Zuschlagsbieter gemäß § 134 GWB</w:t>
            </w:r>
          </w:p>
        </w:tc>
        <w:tc>
          <w:tcPr>
            <w:tcW w:w="2126" w:type="dxa"/>
          </w:tcPr>
          <w:p>
            <w:pPr>
              <w:rPr>
                <w:sz w:val="20"/>
              </w:rPr>
            </w:pPr>
          </w:p>
        </w:tc>
        <w:tc>
          <w:tcPr>
            <w:tcW w:w="2551" w:type="dxa"/>
          </w:tcPr>
          <w:p>
            <w:pPr>
              <w:rPr>
                <w:sz w:val="20"/>
              </w:rPr>
            </w:pPr>
            <w:r>
              <w:rPr>
                <w:sz w:val="20"/>
              </w:rPr>
              <w:t>04.03.2026</w:t>
            </w:r>
          </w:p>
        </w:tc>
      </w:tr>
      <w:tr>
        <w:tc>
          <w:tcPr>
            <w:tcW w:w="3256" w:type="dxa"/>
          </w:tcPr>
          <w:p>
            <w:pPr>
              <w:rPr>
                <w:sz w:val="20"/>
              </w:rPr>
            </w:pPr>
            <w:r>
              <w:rPr>
                <w:sz w:val="20"/>
              </w:rPr>
              <w:t>Wartefrist (Ablauf)</w:t>
            </w:r>
          </w:p>
        </w:tc>
        <w:tc>
          <w:tcPr>
            <w:tcW w:w="2126" w:type="dxa"/>
          </w:tcPr>
          <w:p>
            <w:pPr>
              <w:rPr>
                <w:sz w:val="20"/>
              </w:rPr>
            </w:pPr>
            <w:r>
              <w:rPr>
                <w:sz w:val="20"/>
              </w:rPr>
              <w:t xml:space="preserve">10 Tage </w:t>
            </w:r>
          </w:p>
        </w:tc>
        <w:tc>
          <w:tcPr>
            <w:tcW w:w="2551" w:type="dxa"/>
          </w:tcPr>
          <w:p>
            <w:pPr>
              <w:rPr>
                <w:sz w:val="20"/>
              </w:rPr>
            </w:pPr>
            <w:r>
              <w:rPr>
                <w:sz w:val="20"/>
              </w:rPr>
              <w:t>14.03.2026</w:t>
            </w:r>
          </w:p>
        </w:tc>
      </w:tr>
      <w:tr>
        <w:tc>
          <w:tcPr>
            <w:tcW w:w="3256" w:type="dxa"/>
          </w:tcPr>
          <w:p>
            <w:pPr>
              <w:rPr>
                <w:sz w:val="20"/>
              </w:rPr>
            </w:pPr>
            <w:r>
              <w:rPr>
                <w:sz w:val="20"/>
              </w:rPr>
              <w:t xml:space="preserve">Möglicher frühester Zuschlagstermin </w:t>
            </w:r>
          </w:p>
        </w:tc>
        <w:tc>
          <w:tcPr>
            <w:tcW w:w="2126" w:type="dxa"/>
          </w:tcPr>
          <w:p>
            <w:pPr>
              <w:rPr>
                <w:sz w:val="20"/>
                <w:highlight w:val="yellow"/>
              </w:rPr>
            </w:pPr>
          </w:p>
        </w:tc>
        <w:tc>
          <w:tcPr>
            <w:tcW w:w="2551" w:type="dxa"/>
          </w:tcPr>
          <w:p>
            <w:pPr>
              <w:rPr>
                <w:sz w:val="20"/>
              </w:rPr>
            </w:pPr>
            <w:r>
              <w:rPr>
                <w:sz w:val="20"/>
              </w:rPr>
              <w:t>16.03.2026</w:t>
            </w:r>
          </w:p>
        </w:tc>
      </w:tr>
      <w:tr>
        <w:tc>
          <w:tcPr>
            <w:tcW w:w="3256" w:type="dxa"/>
          </w:tcPr>
          <w:p>
            <w:pPr>
              <w:rPr>
                <w:sz w:val="20"/>
              </w:rPr>
            </w:pPr>
            <w:r>
              <w:rPr>
                <w:sz w:val="20"/>
              </w:rPr>
              <w:t>Zuschlagsmitteilung</w:t>
            </w:r>
          </w:p>
        </w:tc>
        <w:tc>
          <w:tcPr>
            <w:tcW w:w="2126" w:type="dxa"/>
          </w:tcPr>
          <w:p>
            <w:pPr>
              <w:rPr>
                <w:sz w:val="20"/>
                <w:highlight w:val="yellow"/>
              </w:rPr>
            </w:pPr>
          </w:p>
        </w:tc>
        <w:tc>
          <w:tcPr>
            <w:tcW w:w="2551" w:type="dxa"/>
          </w:tcPr>
          <w:p>
            <w:pPr>
              <w:rPr>
                <w:sz w:val="20"/>
              </w:rPr>
            </w:pPr>
            <w:r>
              <w:rPr>
                <w:sz w:val="20"/>
              </w:rPr>
              <w:t>16.03.2026</w:t>
            </w:r>
          </w:p>
        </w:tc>
      </w:tr>
      <w:tr>
        <w:tc>
          <w:tcPr>
            <w:tcW w:w="3256" w:type="dxa"/>
          </w:tcPr>
          <w:p>
            <w:pPr>
              <w:rPr>
                <w:b/>
                <w:bCs/>
                <w:sz w:val="20"/>
              </w:rPr>
            </w:pPr>
            <w:r>
              <w:rPr>
                <w:b/>
                <w:bCs/>
                <w:sz w:val="20"/>
              </w:rPr>
              <w:t>Vertragsbeginn</w:t>
            </w:r>
          </w:p>
        </w:tc>
        <w:tc>
          <w:tcPr>
            <w:tcW w:w="2126" w:type="dxa"/>
          </w:tcPr>
          <w:p>
            <w:pPr>
              <w:rPr>
                <w:b/>
                <w:bCs/>
                <w:sz w:val="20"/>
                <w:highlight w:val="yellow"/>
              </w:rPr>
            </w:pPr>
          </w:p>
        </w:tc>
        <w:tc>
          <w:tcPr>
            <w:tcW w:w="2551" w:type="dxa"/>
          </w:tcPr>
          <w:p>
            <w:pPr>
              <w:rPr>
                <w:sz w:val="20"/>
              </w:rPr>
            </w:pPr>
            <w:r>
              <w:rPr>
                <w:sz w:val="20"/>
              </w:rPr>
              <w:t>01.04.2026</w:t>
            </w:r>
          </w:p>
        </w:tc>
      </w:tr>
      <w:tr>
        <w:tc>
          <w:tcPr>
            <w:tcW w:w="3256" w:type="dxa"/>
          </w:tcPr>
          <w:p>
            <w:pPr>
              <w:rPr>
                <w:b/>
                <w:bCs/>
                <w:sz w:val="20"/>
              </w:rPr>
            </w:pPr>
            <w:r>
              <w:rPr>
                <w:b/>
                <w:bCs/>
                <w:sz w:val="20"/>
              </w:rPr>
              <w:t>Vertragsende</w:t>
            </w:r>
          </w:p>
        </w:tc>
        <w:tc>
          <w:tcPr>
            <w:tcW w:w="2126" w:type="dxa"/>
          </w:tcPr>
          <w:p>
            <w:pPr>
              <w:rPr>
                <w:b/>
                <w:bCs/>
                <w:sz w:val="20"/>
                <w:highlight w:val="yellow"/>
              </w:rPr>
            </w:pPr>
          </w:p>
        </w:tc>
        <w:tc>
          <w:tcPr>
            <w:tcW w:w="2551" w:type="dxa"/>
          </w:tcPr>
          <w:p>
            <w:pPr>
              <w:rPr>
                <w:sz w:val="20"/>
              </w:rPr>
            </w:pPr>
            <w:r>
              <w:rPr>
                <w:sz w:val="20"/>
              </w:rPr>
              <w:t>31.03.2028</w:t>
            </w:r>
          </w:p>
        </w:tc>
      </w:tr>
    </w:tbl>
    <w:p>
      <w:pPr>
        <w:ind w:left="567"/>
        <w:rPr>
          <w:sz w:val="20"/>
        </w:rPr>
      </w:pPr>
    </w:p>
    <w:p>
      <w:pPr>
        <w:spacing w:line="276" w:lineRule="auto"/>
        <w:contextualSpacing/>
        <w:jc w:val="both"/>
        <w:rPr>
          <w:rFonts w:cs="Arial"/>
        </w:rPr>
      </w:pPr>
    </w:p>
    <w:p>
      <w:pPr>
        <w:spacing w:line="276" w:lineRule="auto"/>
        <w:contextualSpacing/>
        <w:jc w:val="both"/>
        <w:rPr>
          <w:rFonts w:cs="Arial"/>
        </w:rPr>
      </w:pPr>
    </w:p>
    <w:p>
      <w:pPr>
        <w:pStyle w:val="berschrift1"/>
        <w:contextualSpacing/>
        <w:jc w:val="both"/>
      </w:pPr>
      <w:bookmarkStart w:id="0" w:name="_Toc196302801"/>
      <w:r>
        <w:t>Vergabeunterlagen</w:t>
      </w:r>
      <w:bookmarkEnd w:id="0"/>
    </w:p>
    <w:p>
      <w:pPr>
        <w:spacing w:line="276" w:lineRule="auto"/>
        <w:ind w:right="-1"/>
        <w:contextualSpacing/>
        <w:jc w:val="both"/>
        <w:rPr>
          <w:rFonts w:cs="Arial"/>
        </w:rPr>
      </w:pPr>
    </w:p>
    <w:p>
      <w:pPr>
        <w:pStyle w:val="KeinLeerraum"/>
        <w:spacing w:line="276" w:lineRule="auto"/>
        <w:jc w:val="both"/>
        <w:rPr>
          <w:rFonts w:ascii="Arial" w:hAnsi="Arial" w:cs="Arial"/>
        </w:rPr>
      </w:pPr>
      <w:r>
        <w:rPr>
          <w:rFonts w:ascii="Arial" w:hAnsi="Arial" w:cs="Arial"/>
        </w:rPr>
        <w:t>Die Jobcenter Wuppertal AöR schreibt die Herstellung, Lieferung und Montage von Büromöbeln aus.</w:t>
      </w:r>
    </w:p>
    <w:p>
      <w:pPr>
        <w:pStyle w:val="KeinLeerraum"/>
        <w:spacing w:line="276" w:lineRule="auto"/>
        <w:jc w:val="both"/>
        <w:rPr>
          <w:rFonts w:cs="Arial"/>
        </w:rPr>
      </w:pPr>
    </w:p>
    <w:p>
      <w:pPr>
        <w:spacing w:line="276" w:lineRule="auto"/>
        <w:contextualSpacing/>
        <w:jc w:val="both"/>
        <w:rPr>
          <w:rFonts w:cs="Arial"/>
        </w:rPr>
      </w:pPr>
      <w:r>
        <w:rPr>
          <w:rFonts w:cs="Arial"/>
        </w:rPr>
        <w:t xml:space="preserve">Die hier vorliegenden Vergabeunterlagen erläutern die zu vergebenden Leistungen textlich und sollen den Bieter in die Lage versetzen, sein Angebot so zweifelsfrei wie möglich zu kalkulieren und zu formulieren. Für die Angebotsausarbeitung und Kalkulation der </w:t>
      </w:r>
      <w:r>
        <w:rPr>
          <w:rFonts w:cs="Arial"/>
        </w:rPr>
        <w:lastRenderedPageBreak/>
        <w:t>angebotenen Leistungen stehen dem Bieter unter anderem die Leistungsbeschreibung sowie der Vertrag zur Verfügung.</w:t>
      </w:r>
    </w:p>
    <w:p>
      <w:pPr>
        <w:spacing w:line="276" w:lineRule="auto"/>
        <w:contextualSpacing/>
        <w:jc w:val="both"/>
        <w:rPr>
          <w:rFonts w:cs="Arial"/>
        </w:rPr>
      </w:pPr>
    </w:p>
    <w:p>
      <w:pPr>
        <w:pStyle w:val="Listenabsatz"/>
        <w:pBdr>
          <w:top w:val="single" w:sz="4" w:space="1" w:color="auto"/>
          <w:left w:val="single" w:sz="4" w:space="5" w:color="auto"/>
          <w:bottom w:val="single" w:sz="4" w:space="1" w:color="auto"/>
          <w:right w:val="single" w:sz="4" w:space="4" w:color="auto"/>
        </w:pBdr>
        <w:shd w:val="clear" w:color="auto" w:fill="BFBFBF" w:themeFill="background1" w:themeFillShade="BF"/>
        <w:spacing w:line="276" w:lineRule="auto"/>
        <w:ind w:left="720" w:right="-1"/>
        <w:contextualSpacing/>
        <w:jc w:val="both"/>
        <w:rPr>
          <w:rFonts w:cs="Arial"/>
        </w:rPr>
      </w:pPr>
      <w:r>
        <w:rPr>
          <w:rFonts w:cs="Arial"/>
        </w:rPr>
        <w:t>Die Vergabe- bzw. Angebotsunterlagen enthalten:</w:t>
      </w:r>
    </w:p>
    <w:p>
      <w:pPr>
        <w:pStyle w:val="Listenabsatz"/>
        <w:numPr>
          <w:ilvl w:val="0"/>
          <w:numId w:val="18"/>
        </w:numPr>
        <w:pBdr>
          <w:top w:val="single" w:sz="4" w:space="1" w:color="auto"/>
          <w:left w:val="single" w:sz="4" w:space="4" w:color="auto"/>
          <w:bottom w:val="single" w:sz="4" w:space="1" w:color="auto"/>
          <w:right w:val="single" w:sz="4" w:space="4" w:color="auto"/>
        </w:pBdr>
        <w:spacing w:line="276" w:lineRule="auto"/>
        <w:ind w:right="-1"/>
        <w:contextualSpacing/>
        <w:jc w:val="both"/>
        <w:rPr>
          <w:rFonts w:cs="Arial"/>
        </w:rPr>
      </w:pPr>
      <w:r>
        <w:rPr>
          <w:rFonts w:cs="Arial"/>
        </w:rPr>
        <w:t xml:space="preserve">Teil A: Bewerbungs- und Angebotsbedingungen – </w:t>
      </w:r>
      <w:r>
        <w:rPr>
          <w:rFonts w:cs="Arial"/>
          <w:i/>
          <w:iCs/>
        </w:rPr>
        <w:t>(</w:t>
      </w:r>
      <w:r>
        <w:rPr>
          <w:rFonts w:cs="Arial"/>
          <w:i/>
          <w:iCs/>
          <w:u w:val="single"/>
        </w:rPr>
        <w:t>verbleibt beim Bieter</w:t>
      </w:r>
      <w:r>
        <w:rPr>
          <w:rFonts w:cs="Arial"/>
          <w:i/>
          <w:iCs/>
        </w:rPr>
        <w:t>)</w:t>
      </w:r>
      <w:r>
        <w:rPr>
          <w:rFonts w:cs="Arial"/>
        </w:rPr>
        <w:t xml:space="preserve"> </w:t>
      </w:r>
    </w:p>
    <w:p>
      <w:pPr>
        <w:pStyle w:val="Listenabsatz"/>
        <w:numPr>
          <w:ilvl w:val="0"/>
          <w:numId w:val="18"/>
        </w:numPr>
        <w:pBdr>
          <w:top w:val="single" w:sz="4" w:space="1" w:color="auto"/>
          <w:left w:val="single" w:sz="4" w:space="4" w:color="auto"/>
          <w:bottom w:val="single" w:sz="4" w:space="1" w:color="auto"/>
          <w:right w:val="single" w:sz="4" w:space="4" w:color="auto"/>
        </w:pBdr>
        <w:spacing w:line="276" w:lineRule="auto"/>
        <w:ind w:right="-1"/>
        <w:contextualSpacing/>
        <w:jc w:val="both"/>
        <w:rPr>
          <w:rFonts w:cs="Arial"/>
        </w:rPr>
      </w:pPr>
      <w:r>
        <w:rPr>
          <w:rFonts w:cs="Arial"/>
        </w:rPr>
        <w:t xml:space="preserve">Teil B: Vertragsbedingungen – </w:t>
      </w:r>
      <w:r>
        <w:rPr>
          <w:rFonts w:cs="Arial"/>
          <w:i/>
          <w:iCs/>
        </w:rPr>
        <w:t>(</w:t>
      </w:r>
      <w:r>
        <w:rPr>
          <w:rFonts w:cs="Arial"/>
          <w:i/>
          <w:iCs/>
          <w:u w:val="single"/>
        </w:rPr>
        <w:t>verbleibt beim Bieter</w:t>
      </w:r>
      <w:r>
        <w:rPr>
          <w:rFonts w:cs="Arial"/>
          <w:i/>
          <w:iCs/>
        </w:rPr>
        <w:t>)</w:t>
      </w:r>
      <w:r>
        <w:rPr>
          <w:rFonts w:cs="Arial"/>
        </w:rPr>
        <w:t xml:space="preserve"> </w:t>
      </w:r>
    </w:p>
    <w:p>
      <w:pPr>
        <w:pStyle w:val="Listenabsatz"/>
        <w:numPr>
          <w:ilvl w:val="0"/>
          <w:numId w:val="18"/>
        </w:numPr>
        <w:pBdr>
          <w:top w:val="single" w:sz="4" w:space="1" w:color="auto"/>
          <w:left w:val="single" w:sz="4" w:space="4" w:color="auto"/>
          <w:bottom w:val="single" w:sz="4" w:space="1" w:color="auto"/>
          <w:right w:val="single" w:sz="4" w:space="4" w:color="auto"/>
        </w:pBdr>
        <w:spacing w:line="276" w:lineRule="auto"/>
        <w:ind w:right="-1"/>
        <w:contextualSpacing/>
        <w:jc w:val="both"/>
        <w:rPr>
          <w:rFonts w:cs="Arial"/>
        </w:rPr>
      </w:pPr>
      <w:r>
        <w:rPr>
          <w:rFonts w:cs="Arial"/>
        </w:rPr>
        <w:t xml:space="preserve">Teil C: Leistungsbeschreibung je Los – </w:t>
      </w:r>
      <w:r>
        <w:rPr>
          <w:rFonts w:cs="Arial"/>
          <w:i/>
          <w:iCs/>
        </w:rPr>
        <w:t>(</w:t>
      </w:r>
      <w:r>
        <w:rPr>
          <w:rFonts w:cs="Arial"/>
          <w:i/>
          <w:iCs/>
          <w:u w:val="single"/>
        </w:rPr>
        <w:t>verbleibt beim Bieter</w:t>
      </w:r>
      <w:r>
        <w:rPr>
          <w:rFonts w:cs="Arial"/>
          <w:i/>
          <w:iCs/>
        </w:rPr>
        <w:t>)</w:t>
      </w:r>
      <w:r>
        <w:rPr>
          <w:rFonts w:cs="Arial"/>
        </w:rPr>
        <w:t xml:space="preserve"> </w:t>
      </w:r>
    </w:p>
    <w:p>
      <w:pPr>
        <w:pStyle w:val="Listenabsatz"/>
        <w:numPr>
          <w:ilvl w:val="0"/>
          <w:numId w:val="18"/>
        </w:numPr>
        <w:pBdr>
          <w:top w:val="single" w:sz="4" w:space="1" w:color="auto"/>
          <w:left w:val="single" w:sz="4" w:space="4" w:color="auto"/>
          <w:bottom w:val="single" w:sz="4" w:space="1" w:color="auto"/>
          <w:right w:val="single" w:sz="4" w:space="4" w:color="auto"/>
        </w:pBdr>
        <w:spacing w:line="276" w:lineRule="auto"/>
        <w:ind w:right="-1"/>
        <w:contextualSpacing/>
        <w:jc w:val="both"/>
        <w:rPr>
          <w:rFonts w:cs="Arial"/>
        </w:rPr>
      </w:pPr>
      <w:r>
        <w:rPr>
          <w:rFonts w:cs="Arial"/>
        </w:rPr>
        <w:t xml:space="preserve">Teil D: Erklärungen und Nachweise – </w:t>
      </w:r>
      <w:r>
        <w:rPr>
          <w:rFonts w:cs="Arial"/>
          <w:i/>
          <w:iCs/>
        </w:rPr>
        <w:t>(</w:t>
      </w:r>
      <w:r>
        <w:rPr>
          <w:rFonts w:cs="Arial"/>
          <w:i/>
          <w:iCs/>
          <w:u w:val="single"/>
        </w:rPr>
        <w:t>vom Bieter in Textform auszufüllen und einzureichen</w:t>
      </w:r>
      <w:r>
        <w:rPr>
          <w:rFonts w:cs="Arial"/>
          <w:i/>
          <w:iCs/>
        </w:rPr>
        <w:t xml:space="preserve">) </w:t>
      </w:r>
    </w:p>
    <w:p>
      <w:pPr>
        <w:pStyle w:val="Listenabsatz"/>
        <w:numPr>
          <w:ilvl w:val="0"/>
          <w:numId w:val="18"/>
        </w:numPr>
        <w:pBdr>
          <w:top w:val="single" w:sz="4" w:space="1" w:color="auto"/>
          <w:left w:val="single" w:sz="4" w:space="4" w:color="auto"/>
          <w:bottom w:val="single" w:sz="4" w:space="1" w:color="auto"/>
          <w:right w:val="single" w:sz="4" w:space="4" w:color="auto"/>
        </w:pBdr>
        <w:spacing w:line="276" w:lineRule="auto"/>
        <w:ind w:right="-1"/>
        <w:contextualSpacing/>
        <w:jc w:val="both"/>
        <w:rPr>
          <w:rFonts w:cs="Arial"/>
        </w:rPr>
      </w:pPr>
      <w:r>
        <w:rPr>
          <w:rFonts w:cs="Arial"/>
        </w:rPr>
        <w:t xml:space="preserve">„Angebotsteil II“ enthält das Leistungsverzeichnis und die Ausführungen und notwendigen Angaben des Bieters zum Zuschlagskriterium „Preis“ – </w:t>
      </w:r>
      <w:r>
        <w:rPr>
          <w:rFonts w:cs="Arial"/>
          <w:i/>
          <w:iCs/>
        </w:rPr>
        <w:t>(</w:t>
      </w:r>
      <w:r>
        <w:rPr>
          <w:rFonts w:cs="Arial"/>
          <w:i/>
          <w:iCs/>
          <w:u w:val="single"/>
        </w:rPr>
        <w:t>vom Bieter in Textform auszufüllen und einzu</w:t>
      </w:r>
      <w:r>
        <w:rPr>
          <w:rFonts w:cs="Arial"/>
          <w:i/>
          <w:iCs/>
          <w:u w:val="single"/>
        </w:rPr>
        <w:softHyphen/>
        <w:t>reichen</w:t>
      </w:r>
      <w:r>
        <w:rPr>
          <w:rFonts w:cs="Arial"/>
          <w:i/>
          <w:iCs/>
        </w:rPr>
        <w:t xml:space="preserve">) </w:t>
      </w:r>
    </w:p>
    <w:p>
      <w:pPr>
        <w:spacing w:line="276" w:lineRule="auto"/>
        <w:ind w:right="-1"/>
        <w:contextualSpacing/>
        <w:jc w:val="both"/>
        <w:rPr>
          <w:rFonts w:cs="Arial"/>
        </w:rPr>
      </w:pPr>
    </w:p>
    <w:p>
      <w:pPr>
        <w:spacing w:line="276" w:lineRule="auto"/>
        <w:ind w:right="-1"/>
        <w:contextualSpacing/>
        <w:jc w:val="both"/>
        <w:rPr>
          <w:rFonts w:cs="Arial"/>
        </w:rPr>
      </w:pPr>
      <w:r>
        <w:rPr>
          <w:rFonts w:cs="Arial"/>
        </w:rPr>
        <w:t>Die Bieter werden gebeten, die Vergabeunterlagen auf Vollständigkeit zu überprüfen. Sollten die Unterlagen unvollständig sein, sind fehlende Seiten unverzüglich bei der ausschreibenden Stelle anzufordern.</w:t>
      </w:r>
    </w:p>
    <w:p>
      <w:pPr>
        <w:pStyle w:val="VerzeichnisVertrag"/>
        <w:tabs>
          <w:tab w:val="clear" w:pos="567"/>
        </w:tabs>
        <w:spacing w:line="276" w:lineRule="auto"/>
        <w:ind w:right="-1"/>
        <w:contextualSpacing/>
        <w:rPr>
          <w:rFonts w:cs="Arial"/>
          <w:color w:val="auto"/>
          <w:szCs w:val="22"/>
        </w:rPr>
      </w:pPr>
    </w:p>
    <w:p>
      <w:pPr>
        <w:pStyle w:val="VerzeichnisVertrag"/>
        <w:tabs>
          <w:tab w:val="clear" w:pos="567"/>
        </w:tabs>
        <w:spacing w:line="276" w:lineRule="auto"/>
        <w:ind w:right="-1"/>
        <w:contextualSpacing/>
        <w:rPr>
          <w:rFonts w:cs="Arial"/>
          <w:color w:val="auto"/>
          <w:szCs w:val="22"/>
        </w:rPr>
      </w:pPr>
      <w:r>
        <w:rPr>
          <w:rFonts w:cs="Arial"/>
          <w:b/>
          <w:color w:val="auto"/>
          <w:szCs w:val="22"/>
        </w:rPr>
        <w:t>Die Gliederung der einzureichenden Angebote ist zusammenfassend in Punkt A.1.3 („Form der Angebote“) dargestellt.</w:t>
      </w:r>
      <w:r>
        <w:rPr>
          <w:rFonts w:cs="Arial"/>
          <w:color w:val="auto"/>
          <w:szCs w:val="22"/>
        </w:rPr>
        <w:t xml:space="preserve"> </w:t>
      </w:r>
    </w:p>
    <w:p>
      <w:pPr>
        <w:pStyle w:val="VerzeichnisVertrag"/>
        <w:tabs>
          <w:tab w:val="clear" w:pos="567"/>
        </w:tabs>
        <w:spacing w:line="276" w:lineRule="auto"/>
        <w:ind w:right="-1"/>
        <w:contextualSpacing/>
        <w:rPr>
          <w:rFonts w:cs="Arial"/>
          <w:color w:val="auto"/>
          <w:szCs w:val="22"/>
        </w:rPr>
      </w:pPr>
    </w:p>
    <w:p>
      <w:pPr>
        <w:pStyle w:val="VerzeichnisVertrag"/>
        <w:tabs>
          <w:tab w:val="clear" w:pos="567"/>
        </w:tabs>
        <w:spacing w:line="276" w:lineRule="auto"/>
        <w:ind w:right="-1"/>
        <w:contextualSpacing/>
        <w:rPr>
          <w:rFonts w:cs="Arial"/>
          <w:color w:val="auto"/>
          <w:szCs w:val="22"/>
        </w:rPr>
      </w:pPr>
      <w:r>
        <w:rPr>
          <w:rFonts w:cs="Arial"/>
          <w:color w:val="auto"/>
          <w:szCs w:val="22"/>
        </w:rPr>
        <w:t>Die den Bietern zugänglich gemachten Unterlagen dürfen nur zur Erstellung des Angebotes und zur Erfüllung des eventuell folgenden Auftrages benutzt werden. Jede Benutzung für andere Zwecke ist untersagt.</w:t>
      </w:r>
    </w:p>
    <w:p>
      <w:pPr>
        <w:pStyle w:val="VerzeichnisVertrag"/>
        <w:tabs>
          <w:tab w:val="clear" w:pos="567"/>
        </w:tabs>
        <w:spacing w:line="276" w:lineRule="auto"/>
        <w:ind w:right="-1"/>
        <w:contextualSpacing/>
        <w:rPr>
          <w:rFonts w:cs="Arial"/>
          <w:color w:val="auto"/>
          <w:szCs w:val="22"/>
        </w:rPr>
      </w:pPr>
    </w:p>
    <w:p>
      <w:pPr>
        <w:pStyle w:val="VerzeichnisVertrag"/>
        <w:tabs>
          <w:tab w:val="clear" w:pos="567"/>
        </w:tabs>
        <w:spacing w:line="276" w:lineRule="auto"/>
        <w:ind w:right="-1"/>
        <w:contextualSpacing/>
        <w:rPr>
          <w:rFonts w:cs="Arial"/>
          <w:color w:val="auto"/>
          <w:szCs w:val="22"/>
        </w:rPr>
      </w:pPr>
      <w:r>
        <w:rPr>
          <w:rFonts w:cs="Arial"/>
          <w:color w:val="auto"/>
          <w:szCs w:val="22"/>
        </w:rPr>
        <w:t>Bietende erklären sich damit einverstanden, dass die von ihnen eingereichten Bewerbungs- bzw. Angebotsunterlagen inklusive unverlangt eingereichter Teile in das Eigentum der öffentlichen Auftraggeberin übergehen.</w:t>
      </w:r>
    </w:p>
    <w:p>
      <w:pPr>
        <w:pStyle w:val="VerzeichnisVertrag"/>
        <w:tabs>
          <w:tab w:val="clear" w:pos="567"/>
        </w:tabs>
        <w:spacing w:line="276" w:lineRule="auto"/>
        <w:ind w:right="-1"/>
        <w:contextualSpacing/>
        <w:rPr>
          <w:rFonts w:cs="Arial"/>
          <w:color w:val="auto"/>
          <w:szCs w:val="22"/>
        </w:rPr>
      </w:pPr>
    </w:p>
    <w:p>
      <w:pPr>
        <w:pStyle w:val="VerzeichnisVertrag"/>
        <w:tabs>
          <w:tab w:val="clear" w:pos="567"/>
        </w:tabs>
        <w:spacing w:line="276" w:lineRule="auto"/>
        <w:ind w:right="-1"/>
        <w:contextualSpacing/>
        <w:rPr>
          <w:rFonts w:cs="Arial"/>
          <w:color w:val="auto"/>
          <w:szCs w:val="22"/>
        </w:rPr>
      </w:pPr>
      <w:r>
        <w:rPr>
          <w:rFonts w:cs="Arial"/>
          <w:color w:val="auto"/>
          <w:szCs w:val="22"/>
        </w:rPr>
        <w:t xml:space="preserve">Für die Erstellung des Angebots und Teilnahme am Vergabeverfahren werden keine Kosten erstattet. </w:t>
      </w:r>
    </w:p>
    <w:p>
      <w:pPr>
        <w:spacing w:line="276" w:lineRule="auto"/>
        <w:contextualSpacing/>
        <w:jc w:val="both"/>
        <w:rPr>
          <w:rFonts w:cs="Arial"/>
        </w:rPr>
      </w:pPr>
    </w:p>
    <w:p>
      <w:pPr>
        <w:spacing w:line="276" w:lineRule="auto"/>
        <w:contextualSpacing/>
        <w:jc w:val="both"/>
        <w:rPr>
          <w:rFonts w:cs="Arial"/>
        </w:rPr>
      </w:pPr>
    </w:p>
    <w:p>
      <w:pPr>
        <w:spacing w:line="276" w:lineRule="auto"/>
        <w:contextualSpacing/>
        <w:jc w:val="both"/>
        <w:rPr>
          <w:rFonts w:cs="Arial"/>
        </w:rPr>
      </w:pPr>
    </w:p>
    <w:p>
      <w:pPr>
        <w:spacing w:line="276" w:lineRule="auto"/>
        <w:contextualSpacing/>
        <w:jc w:val="both"/>
        <w:rPr>
          <w:rFonts w:cs="Arial"/>
        </w:rPr>
      </w:pPr>
    </w:p>
    <w:p>
      <w:pPr>
        <w:spacing w:line="276" w:lineRule="auto"/>
        <w:contextualSpacing/>
        <w:jc w:val="both"/>
        <w:rPr>
          <w:rFonts w:cs="Arial"/>
          <w:b/>
        </w:rPr>
      </w:pPr>
      <w:r>
        <w:rPr>
          <w:rFonts w:cs="Arial"/>
        </w:rPr>
        <w:br w:type="page"/>
      </w:r>
      <w:r>
        <w:rPr>
          <w:rFonts w:cs="Arial"/>
          <w:b/>
        </w:rPr>
        <w:lastRenderedPageBreak/>
        <w:t>Inhaltsverzeichnis</w:t>
      </w:r>
    </w:p>
    <w:p>
      <w:pPr>
        <w:pStyle w:val="Verzeichnis1"/>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196302801" w:history="1">
        <w:r>
          <w:rPr>
            <w:rStyle w:val="Hyperlink"/>
          </w:rPr>
          <w:t>Vergabeunterlagen</w:t>
        </w:r>
        <w:r>
          <w:rPr>
            <w:webHidden/>
          </w:rPr>
          <w:tab/>
        </w:r>
        <w:r>
          <w:rPr>
            <w:webHidden/>
          </w:rPr>
          <w:fldChar w:fldCharType="begin"/>
        </w:r>
        <w:r>
          <w:rPr>
            <w:webHidden/>
          </w:rPr>
          <w:instrText xml:space="preserve"> PAGEREF _Toc196302801 \h </w:instrText>
        </w:r>
        <w:r>
          <w:rPr>
            <w:webHidden/>
          </w:rPr>
        </w:r>
        <w:r>
          <w:rPr>
            <w:webHidden/>
          </w:rPr>
          <w:fldChar w:fldCharType="separate"/>
        </w:r>
        <w:r>
          <w:rPr>
            <w:webHidden/>
          </w:rPr>
          <w:t>1</w:t>
        </w:r>
        <w:r>
          <w:rPr>
            <w:webHidden/>
          </w:rPr>
          <w:fldChar w:fldCharType="end"/>
        </w:r>
      </w:hyperlink>
    </w:p>
    <w:p>
      <w:pPr>
        <w:pStyle w:val="Verzeichnis3"/>
        <w:rPr>
          <w:rFonts w:asciiTheme="minorHAnsi" w:eastAsiaTheme="minorEastAsia" w:hAnsiTheme="minorHAnsi" w:cstheme="minorBidi"/>
        </w:rPr>
      </w:pPr>
      <w:hyperlink w:anchor="_Toc196302802" w:history="1">
        <w:r>
          <w:rPr>
            <w:rStyle w:val="Hyperlink"/>
          </w:rPr>
          <w:t>A.1.1</w:t>
        </w:r>
        <w:r>
          <w:rPr>
            <w:rFonts w:asciiTheme="minorHAnsi" w:eastAsiaTheme="minorEastAsia" w:hAnsiTheme="minorHAnsi" w:cstheme="minorBidi"/>
          </w:rPr>
          <w:tab/>
        </w:r>
        <w:r>
          <w:rPr>
            <w:rStyle w:val="Hyperlink"/>
          </w:rPr>
          <w:t>Art des Vergabeverfahrens</w:t>
        </w:r>
        <w:r>
          <w:rPr>
            <w:webHidden/>
          </w:rPr>
          <w:tab/>
        </w:r>
        <w:r>
          <w:rPr>
            <w:webHidden/>
          </w:rPr>
          <w:fldChar w:fldCharType="begin"/>
        </w:r>
        <w:r>
          <w:rPr>
            <w:webHidden/>
          </w:rPr>
          <w:instrText xml:space="preserve"> PAGEREF _Toc196302802 \h </w:instrText>
        </w:r>
        <w:r>
          <w:rPr>
            <w:webHidden/>
          </w:rPr>
        </w:r>
        <w:r>
          <w:rPr>
            <w:webHidden/>
          </w:rPr>
          <w:fldChar w:fldCharType="separate"/>
        </w:r>
        <w:r>
          <w:rPr>
            <w:webHidden/>
          </w:rPr>
          <w:t>4</w:t>
        </w:r>
        <w:r>
          <w:rPr>
            <w:webHidden/>
          </w:rPr>
          <w:fldChar w:fldCharType="end"/>
        </w:r>
      </w:hyperlink>
    </w:p>
    <w:p>
      <w:pPr>
        <w:pStyle w:val="Verzeichnis3"/>
        <w:rPr>
          <w:rFonts w:asciiTheme="minorHAnsi" w:eastAsiaTheme="minorEastAsia" w:hAnsiTheme="minorHAnsi" w:cstheme="minorBidi"/>
        </w:rPr>
      </w:pPr>
      <w:hyperlink w:anchor="_Toc196302803" w:history="1">
        <w:r>
          <w:rPr>
            <w:rStyle w:val="Hyperlink"/>
          </w:rPr>
          <w:t>A.1.2</w:t>
        </w:r>
        <w:r>
          <w:rPr>
            <w:rFonts w:asciiTheme="minorHAnsi" w:eastAsiaTheme="minorEastAsia" w:hAnsiTheme="minorHAnsi" w:cstheme="minorBidi"/>
          </w:rPr>
          <w:tab/>
        </w:r>
        <w:r>
          <w:rPr>
            <w:rStyle w:val="Hyperlink"/>
          </w:rPr>
          <w:t>Auskünfte</w:t>
        </w:r>
        <w:r>
          <w:rPr>
            <w:webHidden/>
          </w:rPr>
          <w:tab/>
        </w:r>
        <w:r>
          <w:rPr>
            <w:webHidden/>
          </w:rPr>
          <w:fldChar w:fldCharType="begin"/>
        </w:r>
        <w:r>
          <w:rPr>
            <w:webHidden/>
          </w:rPr>
          <w:instrText xml:space="preserve"> PAGEREF _Toc196302803 \h </w:instrText>
        </w:r>
        <w:r>
          <w:rPr>
            <w:webHidden/>
          </w:rPr>
        </w:r>
        <w:r>
          <w:rPr>
            <w:webHidden/>
          </w:rPr>
          <w:fldChar w:fldCharType="separate"/>
        </w:r>
        <w:r>
          <w:rPr>
            <w:webHidden/>
          </w:rPr>
          <w:t>4</w:t>
        </w:r>
        <w:r>
          <w:rPr>
            <w:webHidden/>
          </w:rPr>
          <w:fldChar w:fldCharType="end"/>
        </w:r>
      </w:hyperlink>
    </w:p>
    <w:p>
      <w:pPr>
        <w:pStyle w:val="Verzeichnis3"/>
        <w:rPr>
          <w:rFonts w:asciiTheme="minorHAnsi" w:eastAsiaTheme="minorEastAsia" w:hAnsiTheme="minorHAnsi" w:cstheme="minorBidi"/>
        </w:rPr>
      </w:pPr>
      <w:hyperlink w:anchor="_Toc196302804" w:history="1">
        <w:r>
          <w:rPr>
            <w:rStyle w:val="Hyperlink"/>
          </w:rPr>
          <w:t>A.1.3</w:t>
        </w:r>
        <w:r>
          <w:rPr>
            <w:rFonts w:asciiTheme="minorHAnsi" w:eastAsiaTheme="minorEastAsia" w:hAnsiTheme="minorHAnsi" w:cstheme="minorBidi"/>
          </w:rPr>
          <w:tab/>
        </w:r>
        <w:r>
          <w:rPr>
            <w:rStyle w:val="Hyperlink"/>
          </w:rPr>
          <w:t>Form der Angebote</w:t>
        </w:r>
        <w:r>
          <w:rPr>
            <w:webHidden/>
          </w:rPr>
          <w:tab/>
        </w:r>
        <w:r>
          <w:rPr>
            <w:webHidden/>
          </w:rPr>
          <w:fldChar w:fldCharType="begin"/>
        </w:r>
        <w:r>
          <w:rPr>
            <w:webHidden/>
          </w:rPr>
          <w:instrText xml:space="preserve"> PAGEREF _Toc196302804 \h </w:instrText>
        </w:r>
        <w:r>
          <w:rPr>
            <w:webHidden/>
          </w:rPr>
        </w:r>
        <w:r>
          <w:rPr>
            <w:webHidden/>
          </w:rPr>
          <w:fldChar w:fldCharType="separate"/>
        </w:r>
        <w:r>
          <w:rPr>
            <w:webHidden/>
          </w:rPr>
          <w:t>4</w:t>
        </w:r>
        <w:r>
          <w:rPr>
            <w:webHidden/>
          </w:rPr>
          <w:fldChar w:fldCharType="end"/>
        </w:r>
      </w:hyperlink>
    </w:p>
    <w:p>
      <w:pPr>
        <w:pStyle w:val="Verzeichnis3"/>
        <w:rPr>
          <w:rFonts w:asciiTheme="minorHAnsi" w:eastAsiaTheme="minorEastAsia" w:hAnsiTheme="minorHAnsi" w:cstheme="minorBidi"/>
        </w:rPr>
      </w:pPr>
      <w:hyperlink w:anchor="_Toc196302805" w:history="1">
        <w:r>
          <w:rPr>
            <w:rStyle w:val="Hyperlink"/>
          </w:rPr>
          <w:t>A.1.4</w:t>
        </w:r>
        <w:r>
          <w:rPr>
            <w:rFonts w:asciiTheme="minorHAnsi" w:eastAsiaTheme="minorEastAsia" w:hAnsiTheme="minorHAnsi" w:cstheme="minorBidi"/>
          </w:rPr>
          <w:tab/>
        </w:r>
        <w:r>
          <w:rPr>
            <w:rStyle w:val="Hyperlink"/>
          </w:rPr>
          <w:t>Kurzbeschreibung der Leistung</w:t>
        </w:r>
        <w:r>
          <w:rPr>
            <w:webHidden/>
          </w:rPr>
          <w:tab/>
        </w:r>
        <w:r>
          <w:rPr>
            <w:webHidden/>
          </w:rPr>
          <w:fldChar w:fldCharType="begin"/>
        </w:r>
        <w:r>
          <w:rPr>
            <w:webHidden/>
          </w:rPr>
          <w:instrText xml:space="preserve"> PAGEREF _Toc196302805 \h </w:instrText>
        </w:r>
        <w:r>
          <w:rPr>
            <w:webHidden/>
          </w:rPr>
        </w:r>
        <w:r>
          <w:rPr>
            <w:webHidden/>
          </w:rPr>
          <w:fldChar w:fldCharType="separate"/>
        </w:r>
        <w:r>
          <w:rPr>
            <w:webHidden/>
          </w:rPr>
          <w:t>10</w:t>
        </w:r>
        <w:r>
          <w:rPr>
            <w:webHidden/>
          </w:rPr>
          <w:fldChar w:fldCharType="end"/>
        </w:r>
      </w:hyperlink>
    </w:p>
    <w:p>
      <w:pPr>
        <w:pStyle w:val="Verzeichnis3"/>
        <w:rPr>
          <w:rFonts w:asciiTheme="minorHAnsi" w:eastAsiaTheme="minorEastAsia" w:hAnsiTheme="minorHAnsi" w:cstheme="minorBidi"/>
        </w:rPr>
      </w:pPr>
      <w:hyperlink w:anchor="_Toc196302806" w:history="1">
        <w:r>
          <w:rPr>
            <w:rStyle w:val="Hyperlink"/>
          </w:rPr>
          <w:t>A.1.5</w:t>
        </w:r>
        <w:r>
          <w:rPr>
            <w:rFonts w:asciiTheme="minorHAnsi" w:eastAsiaTheme="minorEastAsia" w:hAnsiTheme="minorHAnsi" w:cstheme="minorBidi"/>
          </w:rPr>
          <w:tab/>
        </w:r>
        <w:r>
          <w:rPr>
            <w:rStyle w:val="Hyperlink"/>
          </w:rPr>
          <w:t>Grundlagen der Zusammenarbeit</w:t>
        </w:r>
        <w:r>
          <w:rPr>
            <w:webHidden/>
          </w:rPr>
          <w:tab/>
        </w:r>
        <w:r>
          <w:rPr>
            <w:webHidden/>
          </w:rPr>
          <w:fldChar w:fldCharType="begin"/>
        </w:r>
        <w:r>
          <w:rPr>
            <w:webHidden/>
          </w:rPr>
          <w:instrText xml:space="preserve"> PAGEREF _Toc196302806 \h </w:instrText>
        </w:r>
        <w:r>
          <w:rPr>
            <w:webHidden/>
          </w:rPr>
        </w:r>
        <w:r>
          <w:rPr>
            <w:webHidden/>
          </w:rPr>
          <w:fldChar w:fldCharType="separate"/>
        </w:r>
        <w:r>
          <w:rPr>
            <w:webHidden/>
          </w:rPr>
          <w:t>10</w:t>
        </w:r>
        <w:r>
          <w:rPr>
            <w:webHidden/>
          </w:rPr>
          <w:fldChar w:fldCharType="end"/>
        </w:r>
      </w:hyperlink>
    </w:p>
    <w:p>
      <w:pPr>
        <w:pStyle w:val="Verzeichnis3"/>
        <w:rPr>
          <w:rFonts w:asciiTheme="minorHAnsi" w:eastAsiaTheme="minorEastAsia" w:hAnsiTheme="minorHAnsi" w:cstheme="minorBidi"/>
        </w:rPr>
      </w:pPr>
      <w:hyperlink w:anchor="_Toc196302807" w:history="1">
        <w:r>
          <w:rPr>
            <w:rStyle w:val="Hyperlink"/>
          </w:rPr>
          <w:t>A.1.6</w:t>
        </w:r>
        <w:r>
          <w:rPr>
            <w:rFonts w:asciiTheme="minorHAnsi" w:eastAsiaTheme="minorEastAsia" w:hAnsiTheme="minorHAnsi" w:cstheme="minorBidi"/>
          </w:rPr>
          <w:tab/>
        </w:r>
        <w:r>
          <w:rPr>
            <w:rStyle w:val="Hyperlink"/>
          </w:rPr>
          <w:t>Unzulässige Wettbewerbsbeschränkungen</w:t>
        </w:r>
        <w:r>
          <w:rPr>
            <w:webHidden/>
          </w:rPr>
          <w:tab/>
        </w:r>
        <w:r>
          <w:rPr>
            <w:webHidden/>
          </w:rPr>
          <w:fldChar w:fldCharType="begin"/>
        </w:r>
        <w:r>
          <w:rPr>
            <w:webHidden/>
          </w:rPr>
          <w:instrText xml:space="preserve"> PAGEREF _Toc196302807 \h </w:instrText>
        </w:r>
        <w:r>
          <w:rPr>
            <w:webHidden/>
          </w:rPr>
        </w:r>
        <w:r>
          <w:rPr>
            <w:webHidden/>
          </w:rPr>
          <w:fldChar w:fldCharType="separate"/>
        </w:r>
        <w:r>
          <w:rPr>
            <w:webHidden/>
          </w:rPr>
          <w:t>10</w:t>
        </w:r>
        <w:r>
          <w:rPr>
            <w:webHidden/>
          </w:rPr>
          <w:fldChar w:fldCharType="end"/>
        </w:r>
      </w:hyperlink>
    </w:p>
    <w:p>
      <w:pPr>
        <w:pStyle w:val="Verzeichnis3"/>
        <w:rPr>
          <w:rFonts w:asciiTheme="minorHAnsi" w:eastAsiaTheme="minorEastAsia" w:hAnsiTheme="minorHAnsi" w:cstheme="minorBidi"/>
        </w:rPr>
      </w:pPr>
      <w:hyperlink w:anchor="_Toc196302808" w:history="1">
        <w:r>
          <w:rPr>
            <w:rStyle w:val="Hyperlink"/>
          </w:rPr>
          <w:t>A.1.7</w:t>
        </w:r>
        <w:r>
          <w:rPr>
            <w:rFonts w:asciiTheme="minorHAnsi" w:eastAsiaTheme="minorEastAsia" w:hAnsiTheme="minorHAnsi" w:cstheme="minorBidi"/>
          </w:rPr>
          <w:tab/>
        </w:r>
        <w:r>
          <w:rPr>
            <w:rStyle w:val="Hyperlink"/>
          </w:rPr>
          <w:t>Nebenangebote und mehrere Hauptangebote</w:t>
        </w:r>
        <w:r>
          <w:rPr>
            <w:webHidden/>
          </w:rPr>
          <w:tab/>
        </w:r>
        <w:r>
          <w:rPr>
            <w:webHidden/>
          </w:rPr>
          <w:fldChar w:fldCharType="begin"/>
        </w:r>
        <w:r>
          <w:rPr>
            <w:webHidden/>
          </w:rPr>
          <w:instrText xml:space="preserve"> PAGEREF _Toc196302808 \h </w:instrText>
        </w:r>
        <w:r>
          <w:rPr>
            <w:webHidden/>
          </w:rPr>
        </w:r>
        <w:r>
          <w:rPr>
            <w:webHidden/>
          </w:rPr>
          <w:fldChar w:fldCharType="separate"/>
        </w:r>
        <w:r>
          <w:rPr>
            <w:webHidden/>
          </w:rPr>
          <w:t>11</w:t>
        </w:r>
        <w:r>
          <w:rPr>
            <w:webHidden/>
          </w:rPr>
          <w:fldChar w:fldCharType="end"/>
        </w:r>
      </w:hyperlink>
    </w:p>
    <w:p>
      <w:pPr>
        <w:pStyle w:val="Verzeichnis3"/>
        <w:rPr>
          <w:rFonts w:asciiTheme="minorHAnsi" w:eastAsiaTheme="minorEastAsia" w:hAnsiTheme="minorHAnsi" w:cstheme="minorBidi"/>
        </w:rPr>
      </w:pPr>
      <w:hyperlink w:anchor="_Toc196302809" w:history="1">
        <w:r>
          <w:rPr>
            <w:rStyle w:val="Hyperlink"/>
          </w:rPr>
          <w:t>A.1.8</w:t>
        </w:r>
        <w:r>
          <w:rPr>
            <w:rFonts w:asciiTheme="minorHAnsi" w:eastAsiaTheme="minorEastAsia" w:hAnsiTheme="minorHAnsi" w:cstheme="minorBidi"/>
          </w:rPr>
          <w:tab/>
        </w:r>
        <w:r>
          <w:rPr>
            <w:rStyle w:val="Hyperlink"/>
          </w:rPr>
          <w:t>Kalkulation und Angaben</w:t>
        </w:r>
        <w:r>
          <w:rPr>
            <w:webHidden/>
          </w:rPr>
          <w:tab/>
        </w:r>
        <w:r>
          <w:rPr>
            <w:webHidden/>
          </w:rPr>
          <w:fldChar w:fldCharType="begin"/>
        </w:r>
        <w:r>
          <w:rPr>
            <w:webHidden/>
          </w:rPr>
          <w:instrText xml:space="preserve"> PAGEREF _Toc196302809 \h </w:instrText>
        </w:r>
        <w:r>
          <w:rPr>
            <w:webHidden/>
          </w:rPr>
        </w:r>
        <w:r>
          <w:rPr>
            <w:webHidden/>
          </w:rPr>
          <w:fldChar w:fldCharType="separate"/>
        </w:r>
        <w:r>
          <w:rPr>
            <w:webHidden/>
          </w:rPr>
          <w:t>11</w:t>
        </w:r>
        <w:r>
          <w:rPr>
            <w:webHidden/>
          </w:rPr>
          <w:fldChar w:fldCharType="end"/>
        </w:r>
      </w:hyperlink>
    </w:p>
    <w:p>
      <w:pPr>
        <w:pStyle w:val="Verzeichnis3"/>
        <w:rPr>
          <w:rFonts w:asciiTheme="minorHAnsi" w:eastAsiaTheme="minorEastAsia" w:hAnsiTheme="minorHAnsi" w:cstheme="minorBidi"/>
        </w:rPr>
      </w:pPr>
      <w:hyperlink w:anchor="_Toc196302810" w:history="1">
        <w:r>
          <w:rPr>
            <w:rStyle w:val="Hyperlink"/>
          </w:rPr>
          <w:t>A.1.9</w:t>
        </w:r>
        <w:r>
          <w:rPr>
            <w:rFonts w:asciiTheme="minorHAnsi" w:eastAsiaTheme="minorEastAsia" w:hAnsiTheme="minorHAnsi" w:cstheme="minorBidi"/>
          </w:rPr>
          <w:tab/>
        </w:r>
        <w:r>
          <w:rPr>
            <w:rStyle w:val="Hyperlink"/>
          </w:rPr>
          <w:t>Bietergemeinschaften</w:t>
        </w:r>
        <w:r>
          <w:rPr>
            <w:webHidden/>
          </w:rPr>
          <w:tab/>
        </w:r>
        <w:r>
          <w:rPr>
            <w:webHidden/>
          </w:rPr>
          <w:fldChar w:fldCharType="begin"/>
        </w:r>
        <w:r>
          <w:rPr>
            <w:webHidden/>
          </w:rPr>
          <w:instrText xml:space="preserve"> PAGEREF _Toc196302810 \h </w:instrText>
        </w:r>
        <w:r>
          <w:rPr>
            <w:webHidden/>
          </w:rPr>
        </w:r>
        <w:r>
          <w:rPr>
            <w:webHidden/>
          </w:rPr>
          <w:fldChar w:fldCharType="separate"/>
        </w:r>
        <w:r>
          <w:rPr>
            <w:webHidden/>
          </w:rPr>
          <w:t>11</w:t>
        </w:r>
        <w:r>
          <w:rPr>
            <w:webHidden/>
          </w:rPr>
          <w:fldChar w:fldCharType="end"/>
        </w:r>
      </w:hyperlink>
    </w:p>
    <w:p>
      <w:pPr>
        <w:pStyle w:val="Verzeichnis3"/>
        <w:rPr>
          <w:rFonts w:asciiTheme="minorHAnsi" w:eastAsiaTheme="minorEastAsia" w:hAnsiTheme="minorHAnsi" w:cstheme="minorBidi"/>
        </w:rPr>
      </w:pPr>
      <w:hyperlink w:anchor="_Toc196302811" w:history="1">
        <w:r>
          <w:rPr>
            <w:rStyle w:val="Hyperlink"/>
          </w:rPr>
          <w:t>A.1.10</w:t>
        </w:r>
        <w:r>
          <w:rPr>
            <w:rFonts w:asciiTheme="minorHAnsi" w:eastAsiaTheme="minorEastAsia" w:hAnsiTheme="minorHAnsi" w:cstheme="minorBidi"/>
          </w:rPr>
          <w:tab/>
        </w:r>
        <w:r>
          <w:rPr>
            <w:rStyle w:val="Hyperlink"/>
          </w:rPr>
          <w:t>Unterbeauftragung</w:t>
        </w:r>
        <w:r>
          <w:rPr>
            <w:webHidden/>
          </w:rPr>
          <w:tab/>
        </w:r>
        <w:r>
          <w:rPr>
            <w:webHidden/>
          </w:rPr>
          <w:fldChar w:fldCharType="begin"/>
        </w:r>
        <w:r>
          <w:rPr>
            <w:webHidden/>
          </w:rPr>
          <w:instrText xml:space="preserve"> PAGEREF _Toc196302811 \h </w:instrText>
        </w:r>
        <w:r>
          <w:rPr>
            <w:webHidden/>
          </w:rPr>
        </w:r>
        <w:r>
          <w:rPr>
            <w:webHidden/>
          </w:rPr>
          <w:fldChar w:fldCharType="separate"/>
        </w:r>
        <w:r>
          <w:rPr>
            <w:webHidden/>
          </w:rPr>
          <w:t>11</w:t>
        </w:r>
        <w:r>
          <w:rPr>
            <w:webHidden/>
          </w:rPr>
          <w:fldChar w:fldCharType="end"/>
        </w:r>
      </w:hyperlink>
    </w:p>
    <w:p>
      <w:pPr>
        <w:pStyle w:val="Verzeichnis3"/>
        <w:rPr>
          <w:rFonts w:asciiTheme="minorHAnsi" w:eastAsiaTheme="minorEastAsia" w:hAnsiTheme="minorHAnsi" w:cstheme="minorBidi"/>
        </w:rPr>
      </w:pPr>
      <w:hyperlink w:anchor="_Toc196302812" w:history="1">
        <w:r>
          <w:rPr>
            <w:rStyle w:val="Hyperlink"/>
          </w:rPr>
          <w:t>A.1.11</w:t>
        </w:r>
        <w:r>
          <w:rPr>
            <w:rFonts w:asciiTheme="minorHAnsi" w:eastAsiaTheme="minorEastAsia" w:hAnsiTheme="minorHAnsi" w:cstheme="minorBidi"/>
          </w:rPr>
          <w:tab/>
        </w:r>
        <w:r>
          <w:rPr>
            <w:rStyle w:val="Hyperlink"/>
          </w:rPr>
          <w:t>Vertragssprache</w:t>
        </w:r>
        <w:r>
          <w:rPr>
            <w:webHidden/>
          </w:rPr>
          <w:tab/>
        </w:r>
        <w:r>
          <w:rPr>
            <w:webHidden/>
          </w:rPr>
          <w:fldChar w:fldCharType="begin"/>
        </w:r>
        <w:r>
          <w:rPr>
            <w:webHidden/>
          </w:rPr>
          <w:instrText xml:space="preserve"> PAGEREF _Toc196302812 \h </w:instrText>
        </w:r>
        <w:r>
          <w:rPr>
            <w:webHidden/>
          </w:rPr>
        </w:r>
        <w:r>
          <w:rPr>
            <w:webHidden/>
          </w:rPr>
          <w:fldChar w:fldCharType="separate"/>
        </w:r>
        <w:r>
          <w:rPr>
            <w:webHidden/>
          </w:rPr>
          <w:t>12</w:t>
        </w:r>
        <w:r>
          <w:rPr>
            <w:webHidden/>
          </w:rPr>
          <w:fldChar w:fldCharType="end"/>
        </w:r>
      </w:hyperlink>
    </w:p>
    <w:p>
      <w:pPr>
        <w:pStyle w:val="Verzeichnis3"/>
        <w:rPr>
          <w:rFonts w:asciiTheme="minorHAnsi" w:eastAsiaTheme="minorEastAsia" w:hAnsiTheme="minorHAnsi" w:cstheme="minorBidi"/>
        </w:rPr>
      </w:pPr>
      <w:hyperlink w:anchor="_Toc196302813" w:history="1">
        <w:r>
          <w:rPr>
            <w:rStyle w:val="Hyperlink"/>
          </w:rPr>
          <w:t>A.1.12</w:t>
        </w:r>
        <w:r>
          <w:rPr>
            <w:rFonts w:asciiTheme="minorHAnsi" w:eastAsiaTheme="minorEastAsia" w:hAnsiTheme="minorHAnsi" w:cstheme="minorBidi"/>
          </w:rPr>
          <w:tab/>
        </w:r>
        <w:r>
          <w:rPr>
            <w:rStyle w:val="Hyperlink"/>
          </w:rPr>
          <w:t>Unklarheiten in den Vergabeunterlagen</w:t>
        </w:r>
        <w:r>
          <w:rPr>
            <w:webHidden/>
          </w:rPr>
          <w:tab/>
        </w:r>
        <w:r>
          <w:rPr>
            <w:webHidden/>
          </w:rPr>
          <w:fldChar w:fldCharType="begin"/>
        </w:r>
        <w:r>
          <w:rPr>
            <w:webHidden/>
          </w:rPr>
          <w:instrText xml:space="preserve"> PAGEREF _Toc196302813 \h </w:instrText>
        </w:r>
        <w:r>
          <w:rPr>
            <w:webHidden/>
          </w:rPr>
        </w:r>
        <w:r>
          <w:rPr>
            <w:webHidden/>
          </w:rPr>
          <w:fldChar w:fldCharType="separate"/>
        </w:r>
        <w:r>
          <w:rPr>
            <w:webHidden/>
          </w:rPr>
          <w:t>12</w:t>
        </w:r>
        <w:r>
          <w:rPr>
            <w:webHidden/>
          </w:rPr>
          <w:fldChar w:fldCharType="end"/>
        </w:r>
      </w:hyperlink>
    </w:p>
    <w:p>
      <w:pPr>
        <w:pStyle w:val="Verzeichnis3"/>
        <w:rPr>
          <w:rFonts w:asciiTheme="minorHAnsi" w:eastAsiaTheme="minorEastAsia" w:hAnsiTheme="minorHAnsi" w:cstheme="minorBidi"/>
        </w:rPr>
      </w:pPr>
      <w:hyperlink w:anchor="_Toc196302814" w:history="1">
        <w:r>
          <w:rPr>
            <w:rStyle w:val="Hyperlink"/>
          </w:rPr>
          <w:t>A.1.13</w:t>
        </w:r>
        <w:r>
          <w:rPr>
            <w:rFonts w:asciiTheme="minorHAnsi" w:eastAsiaTheme="minorEastAsia" w:hAnsiTheme="minorHAnsi" w:cstheme="minorBidi"/>
          </w:rPr>
          <w:tab/>
        </w:r>
        <w:r>
          <w:rPr>
            <w:rStyle w:val="Hyperlink"/>
          </w:rPr>
          <w:t>Verbindlichkeit der Angebote</w:t>
        </w:r>
        <w:r>
          <w:rPr>
            <w:webHidden/>
          </w:rPr>
          <w:tab/>
        </w:r>
        <w:r>
          <w:rPr>
            <w:webHidden/>
          </w:rPr>
          <w:fldChar w:fldCharType="begin"/>
        </w:r>
        <w:r>
          <w:rPr>
            <w:webHidden/>
          </w:rPr>
          <w:instrText xml:space="preserve"> PAGEREF _Toc196302814 \h </w:instrText>
        </w:r>
        <w:r>
          <w:rPr>
            <w:webHidden/>
          </w:rPr>
        </w:r>
        <w:r>
          <w:rPr>
            <w:webHidden/>
          </w:rPr>
          <w:fldChar w:fldCharType="separate"/>
        </w:r>
        <w:r>
          <w:rPr>
            <w:webHidden/>
          </w:rPr>
          <w:t>12</w:t>
        </w:r>
        <w:r>
          <w:rPr>
            <w:webHidden/>
          </w:rPr>
          <w:fldChar w:fldCharType="end"/>
        </w:r>
      </w:hyperlink>
    </w:p>
    <w:p>
      <w:pPr>
        <w:pStyle w:val="Verzeichnis3"/>
        <w:rPr>
          <w:rFonts w:asciiTheme="minorHAnsi" w:eastAsiaTheme="minorEastAsia" w:hAnsiTheme="minorHAnsi" w:cstheme="minorBidi"/>
        </w:rPr>
      </w:pPr>
      <w:hyperlink w:anchor="_Toc196302815" w:history="1">
        <w:r>
          <w:rPr>
            <w:rStyle w:val="Hyperlink"/>
          </w:rPr>
          <w:t>A.1.14</w:t>
        </w:r>
        <w:r>
          <w:rPr>
            <w:rFonts w:asciiTheme="minorHAnsi" w:eastAsiaTheme="minorEastAsia" w:hAnsiTheme="minorHAnsi" w:cstheme="minorBidi"/>
          </w:rPr>
          <w:tab/>
        </w:r>
        <w:r>
          <w:rPr>
            <w:rStyle w:val="Hyperlink"/>
          </w:rPr>
          <w:t>Kennzeichnung von Geheimnissen</w:t>
        </w:r>
        <w:r>
          <w:rPr>
            <w:webHidden/>
          </w:rPr>
          <w:tab/>
        </w:r>
        <w:r>
          <w:rPr>
            <w:webHidden/>
          </w:rPr>
          <w:fldChar w:fldCharType="begin"/>
        </w:r>
        <w:r>
          <w:rPr>
            <w:webHidden/>
          </w:rPr>
          <w:instrText xml:space="preserve"> PAGEREF _Toc196302815 \h </w:instrText>
        </w:r>
        <w:r>
          <w:rPr>
            <w:webHidden/>
          </w:rPr>
        </w:r>
        <w:r>
          <w:rPr>
            <w:webHidden/>
          </w:rPr>
          <w:fldChar w:fldCharType="separate"/>
        </w:r>
        <w:r>
          <w:rPr>
            <w:webHidden/>
          </w:rPr>
          <w:t>12</w:t>
        </w:r>
        <w:r>
          <w:rPr>
            <w:webHidden/>
          </w:rPr>
          <w:fldChar w:fldCharType="end"/>
        </w:r>
      </w:hyperlink>
    </w:p>
    <w:p>
      <w:pPr>
        <w:pStyle w:val="Verzeichnis3"/>
        <w:rPr>
          <w:rFonts w:asciiTheme="minorHAnsi" w:eastAsiaTheme="minorEastAsia" w:hAnsiTheme="minorHAnsi" w:cstheme="minorBidi"/>
        </w:rPr>
      </w:pPr>
      <w:hyperlink w:anchor="_Toc196302816" w:history="1">
        <w:r>
          <w:rPr>
            <w:rStyle w:val="Hyperlink"/>
          </w:rPr>
          <w:t>A.1.15</w:t>
        </w:r>
        <w:r>
          <w:rPr>
            <w:rFonts w:asciiTheme="minorHAnsi" w:eastAsiaTheme="minorEastAsia" w:hAnsiTheme="minorHAnsi" w:cstheme="minorBidi"/>
          </w:rPr>
          <w:tab/>
        </w:r>
        <w:r>
          <w:rPr>
            <w:rStyle w:val="Hyperlink"/>
          </w:rPr>
          <w:t>Rechtsbehelfsbelehrung</w:t>
        </w:r>
        <w:r>
          <w:rPr>
            <w:webHidden/>
          </w:rPr>
          <w:tab/>
        </w:r>
        <w:r>
          <w:rPr>
            <w:webHidden/>
          </w:rPr>
          <w:fldChar w:fldCharType="begin"/>
        </w:r>
        <w:r>
          <w:rPr>
            <w:webHidden/>
          </w:rPr>
          <w:instrText xml:space="preserve"> PAGEREF _Toc196302816 \h </w:instrText>
        </w:r>
        <w:r>
          <w:rPr>
            <w:webHidden/>
          </w:rPr>
        </w:r>
        <w:r>
          <w:rPr>
            <w:webHidden/>
          </w:rPr>
          <w:fldChar w:fldCharType="separate"/>
        </w:r>
        <w:r>
          <w:rPr>
            <w:webHidden/>
          </w:rPr>
          <w:t>12</w:t>
        </w:r>
        <w:r>
          <w:rPr>
            <w:webHidden/>
          </w:rPr>
          <w:fldChar w:fldCharType="end"/>
        </w:r>
      </w:hyperlink>
    </w:p>
    <w:p>
      <w:pPr>
        <w:pStyle w:val="Verzeichnis1"/>
        <w:rPr>
          <w:rFonts w:asciiTheme="minorHAnsi" w:eastAsiaTheme="minorEastAsia" w:hAnsiTheme="minorHAnsi" w:cstheme="minorBidi"/>
          <w:b w:val="0"/>
          <w:bCs w:val="0"/>
          <w:caps w:val="0"/>
        </w:rPr>
      </w:pPr>
      <w:hyperlink w:anchor="_Toc196302817" w:history="1">
        <w:r>
          <w:rPr>
            <w:rStyle w:val="Hyperlink"/>
          </w:rPr>
          <w:t>A.2</w:t>
        </w:r>
        <w:r>
          <w:rPr>
            <w:rFonts w:asciiTheme="minorHAnsi" w:eastAsiaTheme="minorEastAsia" w:hAnsiTheme="minorHAnsi" w:cstheme="minorBidi"/>
            <w:b w:val="0"/>
            <w:bCs w:val="0"/>
            <w:caps w:val="0"/>
          </w:rPr>
          <w:tab/>
        </w:r>
        <w:r>
          <w:rPr>
            <w:rStyle w:val="Hyperlink"/>
          </w:rPr>
          <w:t>Bewertung der Angebote</w:t>
        </w:r>
        <w:r>
          <w:rPr>
            <w:webHidden/>
          </w:rPr>
          <w:tab/>
        </w:r>
        <w:r>
          <w:rPr>
            <w:webHidden/>
          </w:rPr>
          <w:fldChar w:fldCharType="begin"/>
        </w:r>
        <w:r>
          <w:rPr>
            <w:webHidden/>
          </w:rPr>
          <w:instrText xml:space="preserve"> PAGEREF _Toc196302817 \h </w:instrText>
        </w:r>
        <w:r>
          <w:rPr>
            <w:webHidden/>
          </w:rPr>
        </w:r>
        <w:r>
          <w:rPr>
            <w:webHidden/>
          </w:rPr>
          <w:fldChar w:fldCharType="separate"/>
        </w:r>
        <w:r>
          <w:rPr>
            <w:webHidden/>
          </w:rPr>
          <w:t>14</w:t>
        </w:r>
        <w:r>
          <w:rPr>
            <w:webHidden/>
          </w:rPr>
          <w:fldChar w:fldCharType="end"/>
        </w:r>
      </w:hyperlink>
    </w:p>
    <w:p>
      <w:pPr>
        <w:pStyle w:val="Verzeichnis3"/>
        <w:rPr>
          <w:rFonts w:asciiTheme="minorHAnsi" w:eastAsiaTheme="minorEastAsia" w:hAnsiTheme="minorHAnsi" w:cstheme="minorBidi"/>
        </w:rPr>
      </w:pPr>
      <w:hyperlink w:anchor="_Toc196302818" w:history="1">
        <w:r>
          <w:rPr>
            <w:rStyle w:val="Hyperlink"/>
          </w:rPr>
          <w:t>A.2.1</w:t>
        </w:r>
        <w:r>
          <w:rPr>
            <w:rFonts w:asciiTheme="minorHAnsi" w:eastAsiaTheme="minorEastAsia" w:hAnsiTheme="minorHAnsi" w:cstheme="minorBidi"/>
          </w:rPr>
          <w:tab/>
        </w:r>
        <w:r>
          <w:rPr>
            <w:rStyle w:val="Hyperlink"/>
          </w:rPr>
          <w:t>Wertungsphase 1: Formale und inhaltliche Prüfung der Angebote</w:t>
        </w:r>
        <w:r>
          <w:rPr>
            <w:webHidden/>
          </w:rPr>
          <w:tab/>
        </w:r>
        <w:r>
          <w:rPr>
            <w:webHidden/>
          </w:rPr>
          <w:fldChar w:fldCharType="begin"/>
        </w:r>
        <w:r>
          <w:rPr>
            <w:webHidden/>
          </w:rPr>
          <w:instrText xml:space="preserve"> PAGEREF _Toc196302818 \h </w:instrText>
        </w:r>
        <w:r>
          <w:rPr>
            <w:webHidden/>
          </w:rPr>
        </w:r>
        <w:r>
          <w:rPr>
            <w:webHidden/>
          </w:rPr>
          <w:fldChar w:fldCharType="separate"/>
        </w:r>
        <w:r>
          <w:rPr>
            <w:webHidden/>
          </w:rPr>
          <w:t>14</w:t>
        </w:r>
        <w:r>
          <w:rPr>
            <w:webHidden/>
          </w:rPr>
          <w:fldChar w:fldCharType="end"/>
        </w:r>
      </w:hyperlink>
    </w:p>
    <w:p>
      <w:pPr>
        <w:pStyle w:val="Verzeichnis3"/>
        <w:rPr>
          <w:rFonts w:asciiTheme="minorHAnsi" w:eastAsiaTheme="minorEastAsia" w:hAnsiTheme="minorHAnsi" w:cstheme="minorBidi"/>
        </w:rPr>
      </w:pPr>
      <w:hyperlink w:anchor="_Toc196302819" w:history="1">
        <w:r>
          <w:rPr>
            <w:rStyle w:val="Hyperlink"/>
          </w:rPr>
          <w:t>A.2.2</w:t>
        </w:r>
        <w:r>
          <w:rPr>
            <w:rFonts w:asciiTheme="minorHAnsi" w:eastAsiaTheme="minorEastAsia" w:hAnsiTheme="minorHAnsi" w:cstheme="minorBidi"/>
          </w:rPr>
          <w:tab/>
        </w:r>
        <w:r>
          <w:rPr>
            <w:rStyle w:val="Hyperlink"/>
          </w:rPr>
          <w:t>Wertungsphase 2: Eignungsprüfung</w:t>
        </w:r>
        <w:r>
          <w:rPr>
            <w:webHidden/>
          </w:rPr>
          <w:tab/>
        </w:r>
        <w:r>
          <w:rPr>
            <w:webHidden/>
          </w:rPr>
          <w:fldChar w:fldCharType="begin"/>
        </w:r>
        <w:r>
          <w:rPr>
            <w:webHidden/>
          </w:rPr>
          <w:instrText xml:space="preserve"> PAGEREF _Toc196302819 \h </w:instrText>
        </w:r>
        <w:r>
          <w:rPr>
            <w:webHidden/>
          </w:rPr>
        </w:r>
        <w:r>
          <w:rPr>
            <w:webHidden/>
          </w:rPr>
          <w:fldChar w:fldCharType="separate"/>
        </w:r>
        <w:r>
          <w:rPr>
            <w:webHidden/>
          </w:rPr>
          <w:t>14</w:t>
        </w:r>
        <w:r>
          <w:rPr>
            <w:webHidden/>
          </w:rPr>
          <w:fldChar w:fldCharType="end"/>
        </w:r>
      </w:hyperlink>
    </w:p>
    <w:p>
      <w:pPr>
        <w:pStyle w:val="Verzeichnis3"/>
        <w:rPr>
          <w:rFonts w:asciiTheme="minorHAnsi" w:eastAsiaTheme="minorEastAsia" w:hAnsiTheme="minorHAnsi" w:cstheme="minorBidi"/>
        </w:rPr>
      </w:pPr>
      <w:hyperlink w:anchor="_Toc196302820" w:history="1">
        <w:r>
          <w:rPr>
            <w:rStyle w:val="Hyperlink"/>
          </w:rPr>
          <w:t>A.2.3</w:t>
        </w:r>
        <w:r>
          <w:rPr>
            <w:rFonts w:asciiTheme="minorHAnsi" w:eastAsiaTheme="minorEastAsia" w:hAnsiTheme="minorHAnsi" w:cstheme="minorBidi"/>
          </w:rPr>
          <w:tab/>
        </w:r>
        <w:r>
          <w:rPr>
            <w:rStyle w:val="Hyperlink"/>
          </w:rPr>
          <w:t>Wertungsphase 3: Prüfung der Angemessenheit der Angebotspreise</w:t>
        </w:r>
        <w:r>
          <w:rPr>
            <w:webHidden/>
          </w:rPr>
          <w:tab/>
        </w:r>
        <w:r>
          <w:rPr>
            <w:webHidden/>
          </w:rPr>
          <w:fldChar w:fldCharType="begin"/>
        </w:r>
        <w:r>
          <w:rPr>
            <w:webHidden/>
          </w:rPr>
          <w:instrText xml:space="preserve"> PAGEREF _Toc196302820 \h </w:instrText>
        </w:r>
        <w:r>
          <w:rPr>
            <w:webHidden/>
          </w:rPr>
        </w:r>
        <w:r>
          <w:rPr>
            <w:webHidden/>
          </w:rPr>
          <w:fldChar w:fldCharType="separate"/>
        </w:r>
        <w:r>
          <w:rPr>
            <w:webHidden/>
          </w:rPr>
          <w:t>15</w:t>
        </w:r>
        <w:r>
          <w:rPr>
            <w:webHidden/>
          </w:rPr>
          <w:fldChar w:fldCharType="end"/>
        </w:r>
      </w:hyperlink>
    </w:p>
    <w:p>
      <w:pPr>
        <w:pStyle w:val="Verzeichnis3"/>
        <w:rPr>
          <w:rFonts w:asciiTheme="minorHAnsi" w:eastAsiaTheme="minorEastAsia" w:hAnsiTheme="minorHAnsi" w:cstheme="minorBidi"/>
        </w:rPr>
      </w:pPr>
      <w:hyperlink w:anchor="_Toc196302821" w:history="1">
        <w:r>
          <w:rPr>
            <w:rStyle w:val="Hyperlink"/>
          </w:rPr>
          <w:t>A.2.4</w:t>
        </w:r>
        <w:r>
          <w:rPr>
            <w:rFonts w:asciiTheme="minorHAnsi" w:eastAsiaTheme="minorEastAsia" w:hAnsiTheme="minorHAnsi" w:cstheme="minorBidi"/>
          </w:rPr>
          <w:tab/>
        </w:r>
        <w:r>
          <w:rPr>
            <w:rStyle w:val="Hyperlink"/>
          </w:rPr>
          <w:t>Wertungsphase 4: Auswahl des wirtschaftlichsten Angebotes</w:t>
        </w:r>
        <w:r>
          <w:rPr>
            <w:webHidden/>
          </w:rPr>
          <w:tab/>
        </w:r>
        <w:r>
          <w:rPr>
            <w:webHidden/>
          </w:rPr>
          <w:fldChar w:fldCharType="begin"/>
        </w:r>
        <w:r>
          <w:rPr>
            <w:webHidden/>
          </w:rPr>
          <w:instrText xml:space="preserve"> PAGEREF _Toc196302821 \h </w:instrText>
        </w:r>
        <w:r>
          <w:rPr>
            <w:webHidden/>
          </w:rPr>
        </w:r>
        <w:r>
          <w:rPr>
            <w:webHidden/>
          </w:rPr>
          <w:fldChar w:fldCharType="separate"/>
        </w:r>
        <w:r>
          <w:rPr>
            <w:webHidden/>
          </w:rPr>
          <w:t>16</w:t>
        </w:r>
        <w:r>
          <w:rPr>
            <w:webHidden/>
          </w:rPr>
          <w:fldChar w:fldCharType="end"/>
        </w:r>
      </w:hyperlink>
    </w:p>
    <w:p>
      <w:pPr>
        <w:pStyle w:val="Verzeichnis3"/>
        <w:rPr>
          <w:rFonts w:asciiTheme="minorHAnsi" w:eastAsiaTheme="minorEastAsia" w:hAnsiTheme="minorHAnsi" w:cstheme="minorBidi"/>
        </w:rPr>
      </w:pPr>
      <w:hyperlink w:anchor="_Toc196302822" w:history="1">
        <w:r>
          <w:rPr>
            <w:rStyle w:val="Hyperlink"/>
          </w:rPr>
          <w:t>A.2.5</w:t>
        </w:r>
        <w:r>
          <w:rPr>
            <w:rFonts w:asciiTheme="minorHAnsi" w:eastAsiaTheme="minorEastAsia" w:hAnsiTheme="minorHAnsi" w:cstheme="minorBidi"/>
          </w:rPr>
          <w:tab/>
        </w:r>
        <w:r>
          <w:rPr>
            <w:rStyle w:val="Hyperlink"/>
          </w:rPr>
          <w:t>Bietergespräche</w:t>
        </w:r>
        <w:r>
          <w:rPr>
            <w:webHidden/>
          </w:rPr>
          <w:tab/>
        </w:r>
        <w:r>
          <w:rPr>
            <w:webHidden/>
          </w:rPr>
          <w:fldChar w:fldCharType="begin"/>
        </w:r>
        <w:r>
          <w:rPr>
            <w:webHidden/>
          </w:rPr>
          <w:instrText xml:space="preserve"> PAGEREF _Toc196302822 \h </w:instrText>
        </w:r>
        <w:r>
          <w:rPr>
            <w:webHidden/>
          </w:rPr>
        </w:r>
        <w:r>
          <w:rPr>
            <w:webHidden/>
          </w:rPr>
          <w:fldChar w:fldCharType="separate"/>
        </w:r>
        <w:r>
          <w:rPr>
            <w:webHidden/>
          </w:rPr>
          <w:t>17</w:t>
        </w:r>
        <w:r>
          <w:rPr>
            <w:webHidden/>
          </w:rPr>
          <w:fldChar w:fldCharType="end"/>
        </w:r>
      </w:hyperlink>
    </w:p>
    <w:p>
      <w:pPr>
        <w:pStyle w:val="Verzeichnis3"/>
        <w:rPr>
          <w:rFonts w:asciiTheme="minorHAnsi" w:eastAsiaTheme="minorEastAsia" w:hAnsiTheme="minorHAnsi" w:cstheme="minorBidi"/>
        </w:rPr>
      </w:pPr>
      <w:hyperlink w:anchor="_Toc196302823" w:history="1">
        <w:r>
          <w:rPr>
            <w:rStyle w:val="Hyperlink"/>
          </w:rPr>
          <w:t>A.2.6</w:t>
        </w:r>
        <w:r>
          <w:rPr>
            <w:rFonts w:asciiTheme="minorHAnsi" w:eastAsiaTheme="minorEastAsia" w:hAnsiTheme="minorHAnsi" w:cstheme="minorBidi"/>
          </w:rPr>
          <w:tab/>
        </w:r>
        <w:r>
          <w:rPr>
            <w:rStyle w:val="Hyperlink"/>
          </w:rPr>
          <w:t>Information der Bieter</w:t>
        </w:r>
        <w:r>
          <w:rPr>
            <w:webHidden/>
          </w:rPr>
          <w:tab/>
        </w:r>
        <w:r>
          <w:rPr>
            <w:webHidden/>
          </w:rPr>
          <w:fldChar w:fldCharType="begin"/>
        </w:r>
        <w:r>
          <w:rPr>
            <w:webHidden/>
          </w:rPr>
          <w:instrText xml:space="preserve"> PAGEREF _Toc196302823 \h </w:instrText>
        </w:r>
        <w:r>
          <w:rPr>
            <w:webHidden/>
          </w:rPr>
        </w:r>
        <w:r>
          <w:rPr>
            <w:webHidden/>
          </w:rPr>
          <w:fldChar w:fldCharType="separate"/>
        </w:r>
        <w:r>
          <w:rPr>
            <w:webHidden/>
          </w:rPr>
          <w:t>18</w:t>
        </w:r>
        <w:r>
          <w:rPr>
            <w:webHidden/>
          </w:rPr>
          <w:fldChar w:fldCharType="end"/>
        </w:r>
      </w:hyperlink>
    </w:p>
    <w:p>
      <w:pPr>
        <w:pStyle w:val="berschrift1"/>
        <w:contextualSpacing/>
        <w:jc w:val="both"/>
        <w:rPr>
          <w:rFonts w:eastAsia="Times"/>
          <w:noProof/>
          <w:lang w:eastAsia="de-DE"/>
        </w:rPr>
      </w:pPr>
      <w:r>
        <w:rPr>
          <w:rFonts w:eastAsia="Times"/>
          <w:noProof/>
          <w:lang w:eastAsia="de-DE"/>
        </w:rPr>
        <w:fldChar w:fldCharType="end"/>
      </w:r>
    </w:p>
    <w:p>
      <w:pPr>
        <w:spacing w:line="276" w:lineRule="auto"/>
        <w:contextualSpacing/>
        <w:jc w:val="both"/>
        <w:rPr>
          <w:rFonts w:cs="Arial"/>
          <w:b/>
        </w:rPr>
      </w:pPr>
      <w:r>
        <w:rPr>
          <w:rFonts w:cs="Arial"/>
          <w:b/>
        </w:rPr>
        <w:br w:type="page"/>
      </w:r>
    </w:p>
    <w:p>
      <w:pPr>
        <w:spacing w:line="276" w:lineRule="auto"/>
        <w:contextualSpacing/>
        <w:jc w:val="both"/>
        <w:rPr>
          <w:rFonts w:cs="Arial"/>
          <w:b/>
          <w:color w:val="0000FF"/>
          <w:sz w:val="24"/>
          <w:szCs w:val="24"/>
          <w:lang w:eastAsia="de-DE"/>
        </w:rPr>
      </w:pPr>
      <w:r>
        <w:rPr>
          <w:rFonts w:cs="Arial"/>
          <w:b/>
          <w:sz w:val="24"/>
          <w:szCs w:val="24"/>
        </w:rPr>
        <w:lastRenderedPageBreak/>
        <w:t xml:space="preserve">A.1 Allgemeine Bedingungen </w:t>
      </w:r>
    </w:p>
    <w:p>
      <w:pPr>
        <w:spacing w:line="276" w:lineRule="auto"/>
        <w:contextualSpacing/>
        <w:jc w:val="both"/>
        <w:rPr>
          <w:rFonts w:cs="Arial"/>
        </w:rPr>
      </w:pPr>
    </w:p>
    <w:p>
      <w:pPr>
        <w:pStyle w:val="berschrift3"/>
        <w:spacing w:line="276" w:lineRule="auto"/>
        <w:contextualSpacing/>
        <w:jc w:val="both"/>
        <w:rPr>
          <w:rFonts w:cs="Arial"/>
          <w:szCs w:val="22"/>
        </w:rPr>
      </w:pPr>
      <w:bookmarkStart w:id="1" w:name="_Toc196302802"/>
      <w:r>
        <w:rPr>
          <w:rFonts w:cs="Arial"/>
          <w:szCs w:val="22"/>
        </w:rPr>
        <w:t>A.1.1</w:t>
      </w:r>
      <w:r>
        <w:rPr>
          <w:rFonts w:cs="Arial"/>
          <w:szCs w:val="22"/>
        </w:rPr>
        <w:tab/>
        <w:t>Art des Vergabeverfahrens</w:t>
      </w:r>
      <w:bookmarkEnd w:id="1"/>
    </w:p>
    <w:p>
      <w:pPr>
        <w:spacing w:line="276" w:lineRule="auto"/>
        <w:contextualSpacing/>
        <w:jc w:val="both"/>
        <w:rPr>
          <w:rFonts w:cs="Arial"/>
        </w:rPr>
      </w:pPr>
    </w:p>
    <w:p>
      <w:pPr>
        <w:spacing w:line="276" w:lineRule="auto"/>
        <w:contextualSpacing/>
        <w:jc w:val="both"/>
        <w:rPr>
          <w:rFonts w:cs="Arial"/>
        </w:rPr>
      </w:pPr>
      <w:r>
        <w:rPr>
          <w:rFonts w:cs="Arial"/>
        </w:rPr>
        <w:t>Die Leistung wird öffentlich ausgeschrieben gemäß den Vorschriften des Vierten Teils des Gesetzes gegen Wettbewerbsbeschränkungen (GWB) und der Vergabeverordnung (VgV).</w:t>
      </w:r>
    </w:p>
    <w:p>
      <w:pPr>
        <w:spacing w:line="276" w:lineRule="auto"/>
        <w:ind w:right="-1"/>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2" w:name="_Toc196302803"/>
      <w:r>
        <w:rPr>
          <w:rFonts w:cs="Arial"/>
          <w:szCs w:val="22"/>
        </w:rPr>
        <w:t>A.1.2</w:t>
      </w:r>
      <w:r>
        <w:rPr>
          <w:rFonts w:cs="Arial"/>
          <w:szCs w:val="22"/>
        </w:rPr>
        <w:tab/>
        <w:t>Auskünfte</w:t>
      </w:r>
      <w:bookmarkEnd w:id="2"/>
    </w:p>
    <w:p>
      <w:pPr>
        <w:spacing w:line="276" w:lineRule="auto"/>
        <w:contextualSpacing/>
        <w:jc w:val="both"/>
        <w:rPr>
          <w:rFonts w:cs="Arial"/>
        </w:rPr>
      </w:pPr>
    </w:p>
    <w:p>
      <w:pPr>
        <w:spacing w:line="276" w:lineRule="auto"/>
        <w:contextualSpacing/>
        <w:jc w:val="both"/>
        <w:rPr>
          <w:rFonts w:cs="Arial"/>
        </w:rPr>
      </w:pPr>
      <w:r>
        <w:rPr>
          <w:rFonts w:cs="Arial"/>
        </w:rPr>
        <w:t>Anfragen von Bietenden im Rahmen dieses Vergabeverfahrens sind über den Vergabe</w:t>
      </w:r>
      <w:r>
        <w:rPr>
          <w:rFonts w:cs="Arial"/>
        </w:rPr>
        <w:softHyphen/>
        <w:t>marktplatz Rheinland unter dem Punkt „Kommunikation“ zu stellen.</w:t>
      </w:r>
    </w:p>
    <w:p>
      <w:pPr>
        <w:pStyle w:val="KeinLeerraum"/>
        <w:spacing w:line="276" w:lineRule="auto"/>
        <w:contextualSpacing/>
        <w:jc w:val="both"/>
        <w:rPr>
          <w:rFonts w:ascii="Arial" w:hAnsi="Arial" w:cs="Arial"/>
        </w:rPr>
      </w:pPr>
    </w:p>
    <w:p>
      <w:pPr>
        <w:spacing w:line="276" w:lineRule="auto"/>
        <w:contextualSpacing/>
        <w:jc w:val="both"/>
        <w:rPr>
          <w:rFonts w:cs="Arial"/>
        </w:rPr>
      </w:pPr>
      <w:r>
        <w:rPr>
          <w:rFonts w:cs="Arial"/>
        </w:rPr>
        <w:t>Antworten bzw. Auskünfte zu wettbewerbsrelevanten Informationen werden allen Bietenden über den Vergabemarktplatz Rheinland mitgeteilt und sodann auch Bestandteil der Vergabeunterlagen.</w:t>
      </w:r>
    </w:p>
    <w:p>
      <w:pPr>
        <w:spacing w:line="276" w:lineRule="auto"/>
        <w:contextualSpacing/>
        <w:jc w:val="both"/>
        <w:rPr>
          <w:rFonts w:cs="Arial"/>
        </w:rPr>
      </w:pPr>
    </w:p>
    <w:p>
      <w:pPr>
        <w:spacing w:line="276" w:lineRule="auto"/>
        <w:contextualSpacing/>
        <w:jc w:val="both"/>
        <w:rPr>
          <w:rFonts w:cs="Arial"/>
        </w:rPr>
      </w:pPr>
      <w:r>
        <w:rPr>
          <w:rFonts w:cs="Arial"/>
        </w:rPr>
        <w:t>Die Verpflichtung, die aktuellen Informationen abzurufen, liegt bei den Bietenden.</w:t>
      </w:r>
    </w:p>
    <w:p>
      <w:pPr>
        <w:spacing w:line="276" w:lineRule="auto"/>
        <w:ind w:right="-1"/>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rPr>
      </w:pPr>
      <w:bookmarkStart w:id="3" w:name="_Toc196302804"/>
      <w:r>
        <w:rPr>
          <w:rFonts w:cs="Arial"/>
        </w:rPr>
        <w:t>A.1.3</w:t>
      </w:r>
      <w:r>
        <w:rPr>
          <w:rFonts w:cs="Arial"/>
        </w:rPr>
        <w:tab/>
        <w:t>Form der Angebote</w:t>
      </w:r>
      <w:bookmarkEnd w:id="3"/>
    </w:p>
    <w:p>
      <w:pPr>
        <w:pStyle w:val="KeinLeerraum"/>
        <w:spacing w:line="276" w:lineRule="auto"/>
        <w:contextualSpacing/>
        <w:jc w:val="both"/>
        <w:rPr>
          <w:rFonts w:ascii="Arial" w:hAnsi="Arial" w:cs="Arial"/>
          <w:bCs/>
        </w:rPr>
      </w:pPr>
    </w:p>
    <w:p>
      <w:pPr>
        <w:pStyle w:val="KeinLeerraum"/>
        <w:spacing w:line="276" w:lineRule="auto"/>
        <w:contextualSpacing/>
        <w:jc w:val="both"/>
        <w:rPr>
          <w:rFonts w:ascii="Arial" w:hAnsi="Arial" w:cs="Arial"/>
          <w:bCs/>
        </w:rPr>
      </w:pPr>
      <w:r>
        <w:rPr>
          <w:rFonts w:ascii="Arial" w:hAnsi="Arial" w:cs="Arial"/>
          <w:bCs/>
        </w:rPr>
        <w:t xml:space="preserve">Eine freiwillige Registrierung auf dem Vergabemarktplatz Rheinland wird empfohlen. Diese bietet den Vorteil, automatisch über Änderungen an den Teilnahme-/Vergabeunterlagen oder über Antworten zum Verfahren informiert zu werden. </w:t>
      </w:r>
      <w:r>
        <w:rPr>
          <w:rFonts w:ascii="Arial" w:hAnsi="Arial" w:cs="Arial"/>
          <w:bCs/>
          <w:u w:val="single"/>
        </w:rPr>
        <w:t>Antworten sind Bestandteil der Teilnahme-/Vergabeunterlagen</w:t>
      </w:r>
      <w:r>
        <w:rPr>
          <w:rFonts w:ascii="Arial" w:hAnsi="Arial" w:cs="Arial"/>
          <w:bCs/>
        </w:rPr>
        <w:t>. Zur Kommunikation mit der Vergabestelle und zur elektro</w:t>
      </w:r>
      <w:r>
        <w:rPr>
          <w:rFonts w:ascii="Arial" w:hAnsi="Arial" w:cs="Arial"/>
          <w:bCs/>
        </w:rPr>
        <w:softHyphen/>
        <w:t>nischen Einreichung des Teilnahmeantrages/Angebotes ist eine kostenlose Registrierung zwingend erforderlich.</w:t>
      </w:r>
    </w:p>
    <w:p>
      <w:pPr>
        <w:pStyle w:val="KeinLeerraum"/>
        <w:spacing w:line="276" w:lineRule="auto"/>
        <w:contextualSpacing/>
        <w:jc w:val="both"/>
        <w:rPr>
          <w:rFonts w:ascii="Arial" w:hAnsi="Arial" w:cs="Arial"/>
        </w:rPr>
      </w:pPr>
    </w:p>
    <w:p>
      <w:pPr>
        <w:pStyle w:val="KeinLeerraum"/>
        <w:spacing w:line="276" w:lineRule="auto"/>
        <w:contextualSpacing/>
        <w:jc w:val="both"/>
        <w:rPr>
          <w:rFonts w:ascii="Arial" w:hAnsi="Arial" w:cs="Arial"/>
          <w:bCs/>
        </w:rPr>
      </w:pPr>
      <w:r>
        <w:rPr>
          <w:rFonts w:ascii="Arial" w:hAnsi="Arial" w:cs="Arial"/>
        </w:rPr>
        <w:t xml:space="preserve">Elektronische Teilnahmeanträge/Angebote sind ausschließlich über den Vergabemarktplatz Rheinland https://www.vmp-rheinland.de/ einzureichen. </w:t>
      </w:r>
    </w:p>
    <w:p>
      <w:pPr>
        <w:pStyle w:val="KeinLeerraum"/>
        <w:spacing w:line="276" w:lineRule="auto"/>
        <w:contextualSpacing/>
        <w:jc w:val="both"/>
        <w:rPr>
          <w:rFonts w:ascii="Arial" w:hAnsi="Arial" w:cs="Arial"/>
          <w:bCs/>
        </w:rPr>
      </w:pPr>
      <w:r>
        <w:rPr>
          <w:rFonts w:ascii="Arial" w:hAnsi="Arial" w:cs="Arial"/>
          <w:bCs/>
        </w:rPr>
        <w:t>Informationen zu den zu verwendenden elektronischen Mitteln, den technischen Parametern zur Einreichung elektronischer Teilnahmeanträge und Angebote, sowie zu Verschlüsselungs- und Zeiterfassungsverfahren entnehmen Sie bitte den auf den Vergabemarktplatz Rheinland hinterlegten Nutzungsbedingungen.</w:t>
      </w:r>
    </w:p>
    <w:p>
      <w:pPr>
        <w:pStyle w:val="KeinLeerraum"/>
        <w:spacing w:line="276" w:lineRule="auto"/>
        <w:contextualSpacing/>
        <w:jc w:val="both"/>
        <w:rPr>
          <w:rFonts w:ascii="Arial" w:hAnsi="Arial" w:cs="Arial"/>
          <w:bCs/>
        </w:rPr>
      </w:pPr>
    </w:p>
    <w:p>
      <w:pPr>
        <w:pStyle w:val="KeinLeerraum"/>
        <w:spacing w:line="276" w:lineRule="auto"/>
        <w:contextualSpacing/>
        <w:jc w:val="both"/>
        <w:rPr>
          <w:rFonts w:ascii="Arial" w:hAnsi="Arial" w:cs="Arial"/>
        </w:rPr>
      </w:pPr>
      <w:r>
        <w:rPr>
          <w:rFonts w:ascii="Arial" w:hAnsi="Arial" w:cs="Arial"/>
        </w:rPr>
        <w:t xml:space="preserve">Sämtliche Informationen zum Verfahren sind auf dem Vergabemarktplatz hinterlegt (Bekanntmachungsinformationen, Teilnahme-/Vergabeunterlagen und die Kommunikation). </w:t>
      </w:r>
    </w:p>
    <w:p>
      <w:pPr>
        <w:pStyle w:val="KeinLeerraum"/>
        <w:spacing w:line="276" w:lineRule="auto"/>
        <w:contextualSpacing/>
        <w:jc w:val="both"/>
        <w:rPr>
          <w:rFonts w:ascii="Arial" w:hAnsi="Arial" w:cs="Arial"/>
        </w:rPr>
      </w:pPr>
      <w:r>
        <w:rPr>
          <w:rFonts w:ascii="Arial" w:hAnsi="Arial" w:cs="Arial"/>
        </w:rPr>
        <w:t xml:space="preserve">Elektronische Teilnahmeanträge/Angebote können – vorbehaltlich abweichender Angaben im konkreten Verfahren – mittels eines sog. „Bietertools“ grundsätzlich auf drei Arten eingereicht werden: </w:t>
      </w:r>
    </w:p>
    <w:p>
      <w:pPr>
        <w:pStyle w:val="KeinLeerraum"/>
        <w:spacing w:line="276" w:lineRule="auto"/>
        <w:contextualSpacing/>
        <w:jc w:val="both"/>
        <w:rPr>
          <w:rFonts w:ascii="Arial" w:hAnsi="Arial" w:cs="Arial"/>
        </w:rPr>
      </w:pPr>
    </w:p>
    <w:p>
      <w:pPr>
        <w:pStyle w:val="KeinLeerraum"/>
        <w:numPr>
          <w:ilvl w:val="0"/>
          <w:numId w:val="9"/>
        </w:numPr>
        <w:spacing w:line="276" w:lineRule="auto"/>
        <w:ind w:left="357" w:hanging="357"/>
        <w:contextualSpacing/>
        <w:jc w:val="both"/>
        <w:rPr>
          <w:rFonts w:ascii="Arial" w:hAnsi="Arial" w:cs="Arial"/>
        </w:rPr>
      </w:pPr>
      <w:r>
        <w:rPr>
          <w:rFonts w:ascii="Arial" w:hAnsi="Arial" w:cs="Arial"/>
        </w:rPr>
        <w:t xml:space="preserve">Einreichung in Textform nach § 126b BGB </w:t>
      </w:r>
    </w:p>
    <w:p>
      <w:pPr>
        <w:pStyle w:val="KeinLeerraum"/>
        <w:spacing w:line="276" w:lineRule="auto"/>
        <w:ind w:left="357"/>
        <w:contextualSpacing/>
        <w:jc w:val="both"/>
        <w:rPr>
          <w:rFonts w:ascii="Arial" w:hAnsi="Arial" w:cs="Arial"/>
        </w:rPr>
      </w:pPr>
      <w:r>
        <w:rPr>
          <w:rFonts w:ascii="Arial" w:hAnsi="Arial" w:cs="Arial"/>
        </w:rPr>
        <w:t>Textform bedeutet in diesem Zusammenhang die Kommunikation über den Vergabe</w:t>
      </w:r>
      <w:r>
        <w:rPr>
          <w:rFonts w:ascii="Arial" w:hAnsi="Arial" w:cs="Arial"/>
        </w:rPr>
        <w:softHyphen/>
        <w:t xml:space="preserve">marktplatz, sowie insbesondere das Hochladen des späteren Angebotes in Dateiform, wobei die Art der Formatierung der Datei keine Rolle spielt, solange sie auf von der </w:t>
      </w:r>
      <w:r>
        <w:rPr>
          <w:rFonts w:ascii="Arial" w:hAnsi="Arial" w:cs="Arial"/>
        </w:rPr>
        <w:lastRenderedPageBreak/>
        <w:t>Vergabestelle vorgegebenen, üblicherweise verwendeten Formaten beruht. Die vorgegebenen Formate sind grundsätzlich bindend. Entscheidend ist, dass elektronisch abgespeicherte Texte vorhanden sind, und dass die entsprechenden Dokumente möglichst an den vorgesehenen Stellen in ihrer Gesamtheit den Namen des anbietenden Unternehmens, also z.B. einer GmbH, enthalten, und überdies einen lesbaren Namen einer verantwortlichen natürlichen Person (bitte beachten: ein unleserlicher Unterschrifts-Scan kann unter Umständen die Textform nicht erfüllen und damit das Angebot ungültig machen!). Lediglich im Falle von sog. „inhabergeführten Betrieben“ reicht der Name der verantwortlichen natürlichen Person als Inhaber, der in lesbarer Form enthalten sein muss.</w:t>
      </w:r>
    </w:p>
    <w:p>
      <w:pPr>
        <w:pStyle w:val="KeinLeerraum"/>
        <w:numPr>
          <w:ilvl w:val="0"/>
          <w:numId w:val="9"/>
        </w:numPr>
        <w:spacing w:line="276" w:lineRule="auto"/>
        <w:ind w:left="357" w:hanging="357"/>
        <w:contextualSpacing/>
        <w:jc w:val="both"/>
        <w:rPr>
          <w:rFonts w:ascii="Arial" w:hAnsi="Arial" w:cs="Arial"/>
        </w:rPr>
      </w:pPr>
      <w:r>
        <w:rPr>
          <w:rFonts w:ascii="Arial" w:hAnsi="Arial" w:cs="Arial"/>
        </w:rPr>
        <w:t>Einreichung mit fortgeschrittener elektronischer Signatur bzw. fortgeschrittenem elektronischem Siegel</w:t>
      </w:r>
    </w:p>
    <w:p>
      <w:pPr>
        <w:pStyle w:val="KeinLeerraum"/>
        <w:numPr>
          <w:ilvl w:val="0"/>
          <w:numId w:val="9"/>
        </w:numPr>
        <w:spacing w:line="276" w:lineRule="auto"/>
        <w:ind w:left="357" w:hanging="357"/>
        <w:contextualSpacing/>
        <w:jc w:val="both"/>
        <w:rPr>
          <w:rFonts w:ascii="Arial" w:hAnsi="Arial" w:cs="Arial"/>
        </w:rPr>
      </w:pPr>
      <w:r>
        <w:rPr>
          <w:rFonts w:ascii="Arial" w:hAnsi="Arial" w:cs="Arial"/>
        </w:rPr>
        <w:t>Einreichung mit qualifizierter elektronischer Signatur bzw. qualifizierten elektronischen Siegel.</w:t>
      </w:r>
    </w:p>
    <w:p>
      <w:pPr>
        <w:pStyle w:val="KeinLeerraum"/>
        <w:spacing w:line="276" w:lineRule="auto"/>
        <w:ind w:left="357"/>
        <w:contextualSpacing/>
        <w:jc w:val="both"/>
        <w:rPr>
          <w:rFonts w:ascii="Arial" w:hAnsi="Arial" w:cs="Arial"/>
        </w:rPr>
      </w:pPr>
    </w:p>
    <w:p>
      <w:pPr>
        <w:pStyle w:val="KeinLeerraum"/>
        <w:spacing w:line="276" w:lineRule="auto"/>
        <w:contextualSpacing/>
        <w:jc w:val="both"/>
        <w:rPr>
          <w:rFonts w:ascii="Arial" w:hAnsi="Arial" w:cs="Arial"/>
        </w:rPr>
      </w:pPr>
      <w:r>
        <w:rPr>
          <w:rFonts w:ascii="Arial" w:hAnsi="Arial" w:cs="Arial"/>
        </w:rPr>
        <w:t>In allen drei Fällen erfolgen das Hochladen, die Verschlüsselung des Teilnahmeantrags/ Angebotes und die Weiterleitung mit dem zur Verfügung gestellten Bietertool. Das Hochladen ist nur bis zum Ablauf der in der Auftragsbekanntmachung bzw. dem Anschreiben genannten Teilnahme-/Angebotsfrist möglich.</w:t>
      </w:r>
    </w:p>
    <w:p>
      <w:pPr>
        <w:pStyle w:val="KeinLeerraum"/>
        <w:spacing w:line="276" w:lineRule="auto"/>
        <w:contextualSpacing/>
        <w:jc w:val="both"/>
        <w:rPr>
          <w:rFonts w:ascii="Arial" w:hAnsi="Arial" w:cs="Arial"/>
        </w:rPr>
      </w:pPr>
    </w:p>
    <w:p>
      <w:pPr>
        <w:pStyle w:val="KeinLeerraum"/>
        <w:spacing w:line="276" w:lineRule="auto"/>
        <w:contextualSpacing/>
        <w:jc w:val="both"/>
        <w:rPr>
          <w:rFonts w:ascii="Arial" w:hAnsi="Arial" w:cs="Arial"/>
        </w:rPr>
      </w:pPr>
      <w:r>
        <w:rPr>
          <w:rFonts w:ascii="Arial" w:hAnsi="Arial" w:cs="Arial"/>
        </w:rPr>
        <w:t xml:space="preserve">Weitere Informationen zu den Signaturen, zum Bietertool und zum technischen Betrieb stehen Ihnen unter </w:t>
      </w:r>
      <w:hyperlink r:id="rId8" w:history="1">
        <w:r>
          <w:rPr>
            <w:rFonts w:ascii="Arial" w:hAnsi="Arial" w:cs="Arial"/>
          </w:rPr>
          <w:t>www.vergabe.nrw.de</w:t>
        </w:r>
      </w:hyperlink>
      <w:r>
        <w:rPr>
          <w:rFonts w:ascii="Arial" w:hAnsi="Arial" w:cs="Arial"/>
        </w:rPr>
        <w:t xml:space="preserve"> im Bereich Wirtschaft/Einkauf NRW/Vergabemarktplatz und insbesondere unter </w:t>
      </w:r>
      <w:hyperlink r:id="rId9" w:history="1">
        <w:r>
          <w:rPr>
            <w:rFonts w:ascii="Arial" w:hAnsi="Arial" w:cs="Arial"/>
          </w:rPr>
          <w:t>https://support.cosinex.de/unternehmen/</w:t>
        </w:r>
      </w:hyperlink>
      <w:r>
        <w:rPr>
          <w:rFonts w:ascii="Arial" w:hAnsi="Arial" w:cs="Arial"/>
        </w:rPr>
        <w:t xml:space="preserve"> zur Verfügung.</w:t>
      </w:r>
    </w:p>
    <w:p>
      <w:pPr>
        <w:pStyle w:val="KeinLeerraum"/>
        <w:spacing w:line="276" w:lineRule="auto"/>
        <w:contextualSpacing/>
        <w:jc w:val="both"/>
        <w:rPr>
          <w:rFonts w:ascii="Arial" w:hAnsi="Arial" w:cs="Arial"/>
        </w:rPr>
      </w:pPr>
    </w:p>
    <w:p>
      <w:pPr>
        <w:pStyle w:val="KeinLeerraum"/>
        <w:spacing w:line="276" w:lineRule="auto"/>
        <w:contextualSpacing/>
        <w:jc w:val="both"/>
        <w:rPr>
          <w:rFonts w:ascii="Arial" w:hAnsi="Arial" w:cs="Arial"/>
          <w:bCs/>
        </w:rPr>
      </w:pPr>
      <w:r>
        <w:rPr>
          <w:rFonts w:ascii="Arial" w:hAnsi="Arial" w:cs="Arial"/>
          <w:bCs/>
        </w:rPr>
        <w:t xml:space="preserve">Mit der Einreichung in Textform nach § 126b BGB bzw. mit der/dem fortgeschrittenen oder qualifizierten elektronischen Signatur/Siegel gelten der Teilnahmeantrag/das Angebot und alle damit eingereichten Unterlagen als unterschrieben. </w:t>
      </w:r>
      <w:r>
        <w:rPr>
          <w:rFonts w:ascii="Arial" w:hAnsi="Arial" w:cs="Arial"/>
          <w:bCs/>
          <w:u w:val="single"/>
        </w:rPr>
        <w:t>Evtl. in den vorgegebenen Formularen enthaltene Eintragungsmöglichkeiten für Unterschrift und Firmenstempel sind nicht auszufüllen</w:t>
      </w:r>
      <w:r>
        <w:rPr>
          <w:rFonts w:ascii="Arial" w:hAnsi="Arial" w:cs="Arial"/>
          <w:bCs/>
        </w:rPr>
        <w:t>.</w:t>
      </w:r>
    </w:p>
    <w:p>
      <w:pPr>
        <w:pStyle w:val="KeinLeerraum"/>
        <w:spacing w:line="276" w:lineRule="auto"/>
        <w:contextualSpacing/>
        <w:jc w:val="both"/>
        <w:rPr>
          <w:rFonts w:ascii="Arial" w:hAnsi="Arial" w:cs="Arial"/>
        </w:rPr>
      </w:pPr>
    </w:p>
    <w:p>
      <w:pPr>
        <w:pStyle w:val="KeinLeerraum"/>
        <w:spacing w:line="276" w:lineRule="auto"/>
        <w:contextualSpacing/>
        <w:jc w:val="both"/>
        <w:rPr>
          <w:rFonts w:ascii="Arial" w:hAnsi="Arial" w:cs="Arial"/>
        </w:rPr>
      </w:pPr>
      <w:r>
        <w:rPr>
          <w:rFonts w:ascii="Arial" w:hAnsi="Arial" w:cs="Arial"/>
        </w:rPr>
        <w:t>Etwaige Änderungen bzw. Berichtigungen oder Rücknahmen des Teilnahmeantrags/ Angebots, sind bis zum Ende der Teilnahmefrist/Angebotsfrist in entsprechender Form wie der Teilnahmeantrag/das Angebot einzureichen.</w:t>
      </w:r>
    </w:p>
    <w:p>
      <w:pPr>
        <w:pStyle w:val="KeinLeerraum"/>
        <w:spacing w:line="276" w:lineRule="auto"/>
        <w:contextualSpacing/>
        <w:jc w:val="both"/>
        <w:rPr>
          <w:rFonts w:ascii="Arial" w:hAnsi="Arial" w:cs="Arial"/>
        </w:rPr>
      </w:pPr>
    </w:p>
    <w:p>
      <w:pPr>
        <w:spacing w:line="276" w:lineRule="auto"/>
        <w:contextualSpacing/>
        <w:jc w:val="both"/>
        <w:rPr>
          <w:rFonts w:cs="Arial"/>
          <w:b/>
          <w:bCs/>
        </w:rPr>
      </w:pPr>
      <w:bookmarkStart w:id="4" w:name="_Toc188870440"/>
    </w:p>
    <w:p>
      <w:pPr>
        <w:spacing w:line="276" w:lineRule="auto"/>
        <w:contextualSpacing/>
        <w:jc w:val="both"/>
        <w:rPr>
          <w:rFonts w:cs="Arial"/>
          <w:b/>
          <w:bCs/>
        </w:rPr>
      </w:pPr>
      <w:r>
        <w:rPr>
          <w:rFonts w:cs="Arial"/>
          <w:b/>
          <w:bCs/>
        </w:rPr>
        <w:t>Allgemeiner Hinweis zu den Teilnahme-/Vergabeunterlagen</w:t>
      </w:r>
      <w:bookmarkEnd w:id="4"/>
    </w:p>
    <w:p>
      <w:pPr>
        <w:spacing w:line="276" w:lineRule="auto"/>
        <w:contextualSpacing/>
        <w:jc w:val="both"/>
        <w:rPr>
          <w:rFonts w:cs="Arial"/>
          <w:lang w:eastAsia="de-DE"/>
        </w:rPr>
      </w:pPr>
    </w:p>
    <w:p>
      <w:pPr>
        <w:pStyle w:val="KeinLeerraum"/>
        <w:spacing w:line="276" w:lineRule="auto"/>
        <w:contextualSpacing/>
        <w:jc w:val="both"/>
        <w:rPr>
          <w:rFonts w:ascii="Arial" w:hAnsi="Arial" w:cs="Arial"/>
        </w:rPr>
      </w:pPr>
      <w:r>
        <w:rPr>
          <w:rFonts w:ascii="Arial" w:hAnsi="Arial" w:cs="Arial"/>
        </w:rPr>
        <w:t>Die in den Teilnahme-/Vergabeunterlagen enthaltenen Informationen sind soweit schutzrechtsfähig und soweit sie nicht Informationen Dritter enthalten, Eigentum der Vergabestelle. Verwertung, Kopie sowie Weitergabe der Teilnahme-/Vergabeunterlagen sind nur im Rahmen der Einreichung eines Teilnahmeantrages/Angebotes und nur durch das die Teilnahme-/Vergabeunterlagen anfordernde Unternehmen zulässig. Einer darüber hinaus</w:t>
      </w:r>
      <w:r>
        <w:rPr>
          <w:rFonts w:ascii="Arial" w:hAnsi="Arial" w:cs="Arial"/>
        </w:rPr>
        <w:softHyphen/>
        <w:t xml:space="preserve">gehenden Weitergabe und insbesondere der Verkauf von Unterlagen an Dritte gleich zu welchem Zweck sind nicht gestattet. </w:t>
      </w:r>
    </w:p>
    <w:p>
      <w:pPr>
        <w:pStyle w:val="KeinLeerraum"/>
        <w:spacing w:line="276" w:lineRule="auto"/>
        <w:contextualSpacing/>
        <w:jc w:val="both"/>
        <w:rPr>
          <w:rFonts w:ascii="Arial" w:hAnsi="Arial" w:cs="Arial"/>
        </w:rPr>
      </w:pPr>
    </w:p>
    <w:p>
      <w:pPr>
        <w:pStyle w:val="KeinLeerraum"/>
        <w:spacing w:line="276" w:lineRule="auto"/>
        <w:contextualSpacing/>
        <w:jc w:val="both"/>
        <w:rPr>
          <w:rFonts w:ascii="Arial" w:hAnsi="Arial" w:cs="Arial"/>
        </w:rPr>
      </w:pPr>
      <w:r>
        <w:rPr>
          <w:rFonts w:ascii="Arial" w:hAnsi="Arial" w:cs="Arial"/>
        </w:rPr>
        <w:t>Sollten Sie die Teilnahme-/Vergabeunterlagen nicht direkt von der Vergabestelle bzw. über den Vergabemarktplatz Rheinland erhalten haben, sondern über Dienstleister oder beauf</w:t>
      </w:r>
      <w:r>
        <w:rPr>
          <w:rFonts w:ascii="Arial" w:hAnsi="Arial" w:cs="Arial"/>
        </w:rPr>
        <w:softHyphen/>
        <w:t xml:space="preserve">tragte Dritte, wird Ihnen eine Teilnahme über den Vergabemarktplatz Rheinland empfohlen. </w:t>
      </w:r>
      <w:r>
        <w:rPr>
          <w:rFonts w:ascii="Arial" w:hAnsi="Arial" w:cs="Arial"/>
        </w:rPr>
        <w:lastRenderedPageBreak/>
        <w:t>Teilnahme-/Vergabeunterlagen können geändert oder ergänzt werden und die Bewerber-/ Bieterkommunikation, die i. d. R. als einziges Kommunikationsmittel zugelassen ist, kann erläuternde Hinweise enthalten. Einen verbindlichen und jeweils aktuellen Stand der Informationen zu diesem Vergabeverfahren finden Sie im Regelfall nur auf dem Vergabe</w:t>
      </w:r>
      <w:r>
        <w:rPr>
          <w:rFonts w:ascii="Arial" w:hAnsi="Arial" w:cs="Arial"/>
        </w:rPr>
        <w:softHyphen/>
        <w:t>marktplatz Rheinland.</w:t>
      </w:r>
    </w:p>
    <w:p>
      <w:pPr>
        <w:pStyle w:val="KeinLeerraum"/>
        <w:spacing w:line="276" w:lineRule="auto"/>
        <w:contextualSpacing/>
        <w:jc w:val="both"/>
        <w:rPr>
          <w:rFonts w:ascii="Arial" w:hAnsi="Arial" w:cs="Arial"/>
        </w:rPr>
      </w:pPr>
    </w:p>
    <w:p>
      <w:pPr>
        <w:spacing w:line="276" w:lineRule="auto"/>
        <w:ind w:right="-1"/>
        <w:contextualSpacing/>
        <w:jc w:val="both"/>
        <w:rPr>
          <w:rFonts w:cs="Arial"/>
        </w:rPr>
      </w:pPr>
      <w:r>
        <w:rPr>
          <w:rFonts w:cs="Arial"/>
        </w:rPr>
        <w:t>Das von Bietenden einzureichende Angebot besteht im Kern aus den nachfolgend aufgeführten Teilen:</w:t>
      </w:r>
    </w:p>
    <w:p>
      <w:pPr>
        <w:spacing w:line="276" w:lineRule="auto"/>
        <w:ind w:right="-1"/>
        <w:contextualSpacing/>
        <w:jc w:val="both"/>
        <w:rPr>
          <w:rFonts w:cs="Arial"/>
        </w:rPr>
      </w:pPr>
    </w:p>
    <w:p>
      <w:pPr>
        <w:spacing w:line="276" w:lineRule="auto"/>
        <w:ind w:right="-1"/>
        <w:contextualSpacing/>
        <w:jc w:val="both"/>
        <w:rPr>
          <w:rFonts w:cs="Arial"/>
        </w:rPr>
      </w:pPr>
    </w:p>
    <w:p>
      <w:pPr>
        <w:spacing w:line="276" w:lineRule="auto"/>
        <w:ind w:right="-1"/>
        <w:contextualSpacing/>
        <w:jc w:val="both"/>
        <w:rPr>
          <w:rFonts w:cs="Arial"/>
          <w:b/>
          <w:bCs/>
          <w:u w:val="single"/>
        </w:rPr>
      </w:pPr>
      <w:r>
        <w:rPr>
          <w:rFonts w:cs="Arial"/>
          <w:b/>
          <w:bCs/>
          <w:u w:val="single"/>
        </w:rPr>
        <w:t xml:space="preserve">Angebotsteil I: Allgemeine Erklärungen und Eignungsnachweise (gemäß Teil D. der Vergabeunterlage) </w:t>
      </w:r>
    </w:p>
    <w:p>
      <w:pPr>
        <w:spacing w:line="276" w:lineRule="auto"/>
        <w:ind w:right="-1"/>
        <w:contextualSpacing/>
        <w:jc w:val="both"/>
        <w:rPr>
          <w:rFonts w:cs="Arial"/>
        </w:rPr>
      </w:pPr>
    </w:p>
    <w:p>
      <w:pPr>
        <w:spacing w:line="276" w:lineRule="auto"/>
        <w:ind w:right="-1"/>
        <w:contextualSpacing/>
        <w:jc w:val="both"/>
        <w:rPr>
          <w:rFonts w:cs="Arial"/>
        </w:rPr>
      </w:pPr>
      <w:r>
        <w:rPr>
          <w:rFonts w:cs="Arial"/>
        </w:rPr>
        <w:t xml:space="preserve">Die vorgegebenen Angebotsvordrucke (gemäß Teil D. der Vergabeunterlage) sind zu verwenden. Es ist darauf zu achten, dass die Angebotsvordrucke vollständig ausgefüllt sind und eine Ansprechperson benannt ist. </w:t>
      </w:r>
    </w:p>
    <w:p>
      <w:pPr>
        <w:spacing w:line="276" w:lineRule="auto"/>
        <w:ind w:right="-1"/>
        <w:contextualSpacing/>
        <w:jc w:val="both"/>
        <w:rPr>
          <w:rFonts w:cs="Arial"/>
          <w:b/>
          <w:spacing w:val="-7"/>
          <w:w w:val="105"/>
        </w:rPr>
      </w:pPr>
    </w:p>
    <w:p>
      <w:pPr>
        <w:spacing w:line="276" w:lineRule="auto"/>
        <w:ind w:right="-1"/>
        <w:contextualSpacing/>
        <w:jc w:val="both"/>
        <w:rPr>
          <w:rFonts w:cs="Arial"/>
          <w:b/>
          <w:spacing w:val="-7"/>
          <w:w w:val="105"/>
        </w:rPr>
      </w:pPr>
    </w:p>
    <w:p>
      <w:pPr>
        <w:spacing w:line="276" w:lineRule="auto"/>
        <w:contextualSpacing/>
        <w:jc w:val="both"/>
        <w:rPr>
          <w:rFonts w:cs="Arial"/>
          <w:b/>
          <w:bCs/>
          <w:w w:val="105"/>
        </w:rPr>
      </w:pPr>
      <w:r>
        <w:rPr>
          <w:rFonts w:cs="Arial"/>
          <w:b/>
          <w:bCs/>
          <w:w w:val="105"/>
        </w:rPr>
        <w:t>Allgemeine Bietererklärung</w:t>
      </w:r>
    </w:p>
    <w:p>
      <w:pPr>
        <w:tabs>
          <w:tab w:val="left" w:pos="392"/>
        </w:tabs>
        <w:spacing w:line="276" w:lineRule="auto"/>
        <w:ind w:right="-1"/>
        <w:contextualSpacing/>
        <w:jc w:val="both"/>
        <w:rPr>
          <w:rFonts w:cs="Arial"/>
          <w:b/>
          <w:spacing w:val="-4"/>
          <w:w w:val="105"/>
        </w:rPr>
      </w:pPr>
    </w:p>
    <w:p>
      <w:pPr>
        <w:pStyle w:val="Punktaufzhlung"/>
        <w:spacing w:line="276" w:lineRule="auto"/>
        <w:ind w:right="-1"/>
        <w:contextualSpacing/>
        <w:rPr>
          <w:rFonts w:cs="Arial"/>
          <w:szCs w:val="22"/>
        </w:rPr>
      </w:pPr>
      <w:r>
        <w:rPr>
          <w:rFonts w:cs="Arial"/>
          <w:szCs w:val="22"/>
        </w:rPr>
        <w:t>Ansprechpartner des Bieters</w:t>
      </w:r>
    </w:p>
    <w:p>
      <w:pPr>
        <w:pStyle w:val="Punktaufzhlung"/>
        <w:numPr>
          <w:ilvl w:val="0"/>
          <w:numId w:val="0"/>
        </w:numPr>
        <w:spacing w:line="276" w:lineRule="auto"/>
        <w:ind w:left="717" w:hanging="357"/>
        <w:contextualSpacing/>
        <w:rPr>
          <w:rFonts w:cs="Arial"/>
          <w:szCs w:val="22"/>
        </w:rPr>
      </w:pPr>
    </w:p>
    <w:p>
      <w:pPr>
        <w:pStyle w:val="Punktaufzhlung"/>
        <w:numPr>
          <w:ilvl w:val="0"/>
          <w:numId w:val="0"/>
        </w:numPr>
        <w:spacing w:line="276" w:lineRule="auto"/>
        <w:ind w:left="717" w:hanging="9"/>
        <w:contextualSpacing/>
        <w:rPr>
          <w:rFonts w:cs="Arial"/>
          <w:szCs w:val="22"/>
        </w:rPr>
      </w:pPr>
      <w:r>
        <w:rPr>
          <w:rFonts w:cs="Arial"/>
          <w:szCs w:val="22"/>
        </w:rPr>
        <w:t>Die bzw. der Bietende trägt dafür Sorge, dass die benannte Ansprechperson tatsächlich verfügbar und in der Lage ist, auch zeitnah entsprechende Hinweise zu Fragen von Bietenden, Informationen der Auftraggeberin, Auskünfte, Bekanntmachun</w:t>
      </w:r>
      <w:r>
        <w:rPr>
          <w:rFonts w:cs="Arial"/>
          <w:szCs w:val="22"/>
        </w:rPr>
        <w:softHyphen/>
        <w:t>gen usw. entgegenzunehmen. Für den Fall, dass die benannte Ansprechperson aus Gründen von Krankheit oder vergleichbaren Anlässen nicht zur Verfügung steht, muss durch geeignete Vorkehrungen sichergestellt sein, dass verantwortliche Personen im Unternehmen die wichtigen Informationen zu der Ausschreibung in jedem Falle erreichen.</w:t>
      </w:r>
    </w:p>
    <w:p>
      <w:pPr>
        <w:spacing w:line="276" w:lineRule="auto"/>
        <w:contextualSpacing/>
        <w:jc w:val="both"/>
        <w:rPr>
          <w:rFonts w:cs="Arial"/>
          <w:b/>
          <w:bCs/>
          <w:w w:val="105"/>
        </w:rPr>
      </w:pPr>
    </w:p>
    <w:p>
      <w:pPr>
        <w:spacing w:line="276" w:lineRule="auto"/>
        <w:contextualSpacing/>
        <w:jc w:val="both"/>
        <w:rPr>
          <w:rFonts w:cs="Arial"/>
          <w:b/>
          <w:bCs/>
          <w:w w:val="105"/>
        </w:rPr>
      </w:pPr>
    </w:p>
    <w:p>
      <w:pPr>
        <w:spacing w:line="276" w:lineRule="auto"/>
        <w:contextualSpacing/>
        <w:jc w:val="both"/>
        <w:rPr>
          <w:rFonts w:cs="Arial"/>
          <w:b/>
          <w:bCs/>
          <w:w w:val="105"/>
        </w:rPr>
      </w:pPr>
      <w:r>
        <w:rPr>
          <w:rFonts w:cs="Arial"/>
          <w:b/>
          <w:bCs/>
          <w:w w:val="105"/>
        </w:rPr>
        <w:t>Eignungsnachweise</w:t>
      </w:r>
    </w:p>
    <w:p>
      <w:pPr>
        <w:spacing w:line="276" w:lineRule="auto"/>
        <w:contextualSpacing/>
        <w:jc w:val="both"/>
        <w:rPr>
          <w:rStyle w:val="Fett"/>
          <w:rFonts w:cs="Arial"/>
        </w:rPr>
      </w:pPr>
    </w:p>
    <w:p>
      <w:pPr>
        <w:spacing w:line="276" w:lineRule="auto"/>
        <w:contextualSpacing/>
        <w:jc w:val="both"/>
        <w:rPr>
          <w:rStyle w:val="Fett"/>
          <w:rFonts w:cs="Arial"/>
        </w:rPr>
      </w:pPr>
      <w:r>
        <w:rPr>
          <w:rStyle w:val="Fett"/>
          <w:rFonts w:cs="Arial"/>
        </w:rPr>
        <w:t>Präqualifizierung</w:t>
      </w:r>
    </w:p>
    <w:p>
      <w:pPr>
        <w:spacing w:line="276" w:lineRule="auto"/>
        <w:contextualSpacing/>
        <w:jc w:val="both"/>
        <w:rPr>
          <w:rFonts w:cs="Arial"/>
          <w:b/>
        </w:rPr>
      </w:pPr>
    </w:p>
    <w:p>
      <w:pPr>
        <w:pStyle w:val="Textkrper"/>
        <w:spacing w:after="0" w:line="276" w:lineRule="auto"/>
        <w:ind w:right="111"/>
        <w:contextualSpacing/>
        <w:jc w:val="both"/>
        <w:rPr>
          <w:rFonts w:cs="Arial"/>
        </w:rPr>
      </w:pPr>
      <w:r>
        <w:rPr>
          <w:rFonts w:cs="Arial"/>
        </w:rPr>
        <w:t xml:space="preserve">Unternehmen, die in den Präqualifizierungsdatenbanken https://amtliches-verzeichnis.ihk.de oder </w:t>
      </w:r>
      <w:hyperlink r:id="rId10">
        <w:r>
          <w:rPr>
            <w:rFonts w:cs="Arial"/>
          </w:rPr>
          <w:t>www.pq-verein.de</w:t>
        </w:r>
      </w:hyperlink>
      <w:r>
        <w:rPr>
          <w:rFonts w:cs="Arial"/>
        </w:rPr>
        <w:t xml:space="preserve"> bzw. einer anderen für den öffentlichen Auftraggeber kostenfreien Datenbank</w:t>
      </w:r>
      <w:r>
        <w:rPr>
          <w:rFonts w:cs="Arial"/>
          <w:spacing w:val="-4"/>
        </w:rPr>
        <w:t xml:space="preserve"> </w:t>
      </w:r>
      <w:r>
        <w:rPr>
          <w:rFonts w:cs="Arial"/>
        </w:rPr>
        <w:t>innerhalb</w:t>
      </w:r>
      <w:r>
        <w:rPr>
          <w:rFonts w:cs="Arial"/>
          <w:spacing w:val="-4"/>
        </w:rPr>
        <w:t xml:space="preserve"> </w:t>
      </w:r>
      <w:r>
        <w:rPr>
          <w:rFonts w:cs="Arial"/>
        </w:rPr>
        <w:t>der</w:t>
      </w:r>
      <w:r>
        <w:rPr>
          <w:rFonts w:cs="Arial"/>
          <w:spacing w:val="-4"/>
        </w:rPr>
        <w:t xml:space="preserve"> </w:t>
      </w:r>
      <w:r>
        <w:rPr>
          <w:rFonts w:cs="Arial"/>
        </w:rPr>
        <w:t>EU</w:t>
      </w:r>
      <w:r>
        <w:rPr>
          <w:rFonts w:cs="Arial"/>
          <w:spacing w:val="-4"/>
        </w:rPr>
        <w:t xml:space="preserve"> </w:t>
      </w:r>
      <w:r>
        <w:rPr>
          <w:rFonts w:cs="Arial"/>
        </w:rPr>
        <w:t>registriert</w:t>
      </w:r>
      <w:r>
        <w:rPr>
          <w:rFonts w:cs="Arial"/>
          <w:spacing w:val="-4"/>
        </w:rPr>
        <w:t xml:space="preserve"> </w:t>
      </w:r>
      <w:r>
        <w:rPr>
          <w:rFonts w:cs="Arial"/>
        </w:rPr>
        <w:t>sind,</w:t>
      </w:r>
      <w:r>
        <w:rPr>
          <w:rFonts w:cs="Arial"/>
          <w:spacing w:val="-4"/>
        </w:rPr>
        <w:t xml:space="preserve"> </w:t>
      </w:r>
      <w:r>
        <w:rPr>
          <w:rFonts w:cs="Arial"/>
        </w:rPr>
        <w:t>können</w:t>
      </w:r>
      <w:r>
        <w:rPr>
          <w:rFonts w:cs="Arial"/>
          <w:spacing w:val="-4"/>
        </w:rPr>
        <w:t xml:space="preserve"> </w:t>
      </w:r>
      <w:r>
        <w:rPr>
          <w:rFonts w:cs="Arial"/>
        </w:rPr>
        <w:t>dies</w:t>
      </w:r>
      <w:r>
        <w:rPr>
          <w:rFonts w:cs="Arial"/>
          <w:spacing w:val="-4"/>
        </w:rPr>
        <w:t xml:space="preserve"> </w:t>
      </w:r>
      <w:r>
        <w:rPr>
          <w:rFonts w:cs="Arial"/>
        </w:rPr>
        <w:t>bei</w:t>
      </w:r>
      <w:r>
        <w:rPr>
          <w:rFonts w:cs="Arial"/>
          <w:spacing w:val="-4"/>
        </w:rPr>
        <w:t xml:space="preserve"> </w:t>
      </w:r>
      <w:r>
        <w:rPr>
          <w:rFonts w:cs="Arial"/>
        </w:rPr>
        <w:t>Abgabe</w:t>
      </w:r>
      <w:r>
        <w:rPr>
          <w:rFonts w:cs="Arial"/>
          <w:spacing w:val="-4"/>
        </w:rPr>
        <w:t xml:space="preserve"> </w:t>
      </w:r>
      <w:r>
        <w:rPr>
          <w:rFonts w:cs="Arial"/>
        </w:rPr>
        <w:t>eines</w:t>
      </w:r>
      <w:r>
        <w:rPr>
          <w:rFonts w:cs="Arial"/>
          <w:spacing w:val="-4"/>
        </w:rPr>
        <w:t xml:space="preserve"> </w:t>
      </w:r>
      <w:r>
        <w:rPr>
          <w:rFonts w:cs="Arial"/>
        </w:rPr>
        <w:t>Teilnahmeantrages bzw. eines Angebotes durch Angabe der Registrierungsnummer angeben. Sofern vom Auftraggeber Nachweise gefordert werden, die nicht in den Präqualifizierungsdatenbanken enthalten sind, sind diese ergänzend einzureichen. Ansonsten kann das Unternehmen vom Vergabeverfahren ausgeschlossen werden.</w:t>
      </w:r>
    </w:p>
    <w:p>
      <w:pPr>
        <w:pStyle w:val="Textkrper"/>
        <w:spacing w:after="0" w:line="276" w:lineRule="auto"/>
        <w:contextualSpacing/>
        <w:jc w:val="both"/>
        <w:rPr>
          <w:rFonts w:cs="Arial"/>
        </w:rPr>
      </w:pPr>
    </w:p>
    <w:p>
      <w:pPr>
        <w:spacing w:line="276" w:lineRule="auto"/>
        <w:contextualSpacing/>
        <w:jc w:val="both"/>
        <w:rPr>
          <w:rFonts w:cs="Arial"/>
        </w:rPr>
      </w:pPr>
      <w:r>
        <w:rPr>
          <w:rFonts w:cs="Arial"/>
        </w:rPr>
        <w:t xml:space="preserve">Nicht präqualifizierte Unternehmen können als vorläufigen Nachweis der Eignung für die zu vergebende Leistung mit dem Angebot oder Teilnahmeantrag eine Einheitliche Europäische Eigenerklärung (EEE) abgeben, sofern diese als vorläufiger Beleg von der Vergabestelle </w:t>
      </w:r>
      <w:r>
        <w:rPr>
          <w:rFonts w:cs="Arial"/>
        </w:rPr>
        <w:lastRenderedPageBreak/>
        <w:t>ausdrücklich zugelassen</w:t>
      </w:r>
      <w:r>
        <w:rPr>
          <w:rFonts w:cs="Arial"/>
          <w:spacing w:val="-4"/>
        </w:rPr>
        <w:t xml:space="preserve"> </w:t>
      </w:r>
      <w:r>
        <w:rPr>
          <w:rFonts w:cs="Arial"/>
        </w:rPr>
        <w:t>ist.</w:t>
      </w:r>
      <w:r>
        <w:rPr>
          <w:rFonts w:cs="Arial"/>
          <w:spacing w:val="-4"/>
        </w:rPr>
        <w:t xml:space="preserve"> </w:t>
      </w:r>
      <w:r>
        <w:rPr>
          <w:rFonts w:cs="Arial"/>
        </w:rPr>
        <w:t>Gelangt</w:t>
      </w:r>
      <w:r>
        <w:rPr>
          <w:rFonts w:cs="Arial"/>
          <w:spacing w:val="-4"/>
        </w:rPr>
        <w:t xml:space="preserve"> </w:t>
      </w:r>
      <w:r>
        <w:rPr>
          <w:rFonts w:cs="Arial"/>
        </w:rPr>
        <w:t>das</w:t>
      </w:r>
      <w:r>
        <w:rPr>
          <w:rFonts w:cs="Arial"/>
          <w:spacing w:val="-4"/>
        </w:rPr>
        <w:t xml:space="preserve"> </w:t>
      </w:r>
      <w:r>
        <w:rPr>
          <w:rFonts w:cs="Arial"/>
        </w:rPr>
        <w:t>Angebot</w:t>
      </w:r>
      <w:r>
        <w:rPr>
          <w:rFonts w:cs="Arial"/>
          <w:spacing w:val="-4"/>
        </w:rPr>
        <w:t xml:space="preserve"> </w:t>
      </w:r>
      <w:r>
        <w:rPr>
          <w:rFonts w:cs="Arial"/>
        </w:rPr>
        <w:t>in</w:t>
      </w:r>
      <w:r>
        <w:rPr>
          <w:rFonts w:cs="Arial"/>
          <w:spacing w:val="-4"/>
        </w:rPr>
        <w:t xml:space="preserve"> </w:t>
      </w:r>
      <w:r>
        <w:rPr>
          <w:rFonts w:cs="Arial"/>
        </w:rPr>
        <w:t>die</w:t>
      </w:r>
      <w:r>
        <w:rPr>
          <w:rFonts w:cs="Arial"/>
          <w:spacing w:val="-4"/>
        </w:rPr>
        <w:t xml:space="preserve"> </w:t>
      </w:r>
      <w:r>
        <w:rPr>
          <w:rFonts w:cs="Arial"/>
        </w:rPr>
        <w:t>engere</w:t>
      </w:r>
      <w:r>
        <w:rPr>
          <w:rFonts w:cs="Arial"/>
          <w:spacing w:val="-4"/>
        </w:rPr>
        <w:t xml:space="preserve"> </w:t>
      </w:r>
      <w:r>
        <w:rPr>
          <w:rFonts w:cs="Arial"/>
        </w:rPr>
        <w:t>Wahl,</w:t>
      </w:r>
      <w:r>
        <w:rPr>
          <w:rFonts w:cs="Arial"/>
          <w:spacing w:val="-4"/>
        </w:rPr>
        <w:t xml:space="preserve"> </w:t>
      </w:r>
      <w:r>
        <w:rPr>
          <w:rFonts w:cs="Arial"/>
        </w:rPr>
        <w:t>ist</w:t>
      </w:r>
      <w:r>
        <w:rPr>
          <w:rFonts w:cs="Arial"/>
          <w:spacing w:val="-4"/>
        </w:rPr>
        <w:t xml:space="preserve"> </w:t>
      </w:r>
      <w:r>
        <w:rPr>
          <w:rFonts w:cs="Arial"/>
        </w:rPr>
        <w:t>die</w:t>
      </w:r>
      <w:r>
        <w:rPr>
          <w:rFonts w:cs="Arial"/>
          <w:spacing w:val="-4"/>
        </w:rPr>
        <w:t xml:space="preserve"> </w:t>
      </w:r>
      <w:r>
        <w:rPr>
          <w:rFonts w:cs="Arial"/>
        </w:rPr>
        <w:t>Eigenerklärung</w:t>
      </w:r>
      <w:r>
        <w:rPr>
          <w:rFonts w:cs="Arial"/>
          <w:spacing w:val="-4"/>
        </w:rPr>
        <w:t xml:space="preserve"> </w:t>
      </w:r>
      <w:r>
        <w:rPr>
          <w:rFonts w:cs="Arial"/>
        </w:rPr>
        <w:t>auf</w:t>
      </w:r>
      <w:r>
        <w:rPr>
          <w:rFonts w:cs="Arial"/>
          <w:spacing w:val="-4"/>
        </w:rPr>
        <w:t xml:space="preserve"> </w:t>
      </w:r>
      <w:r>
        <w:rPr>
          <w:rFonts w:cs="Arial"/>
        </w:rPr>
        <w:t>gesondertes Verlangen</w:t>
      </w:r>
      <w:r>
        <w:rPr>
          <w:rFonts w:cs="Arial"/>
          <w:spacing w:val="-4"/>
        </w:rPr>
        <w:t xml:space="preserve"> </w:t>
      </w:r>
      <w:r>
        <w:rPr>
          <w:rFonts w:cs="Arial"/>
        </w:rPr>
        <w:t>durch</w:t>
      </w:r>
      <w:r>
        <w:rPr>
          <w:rFonts w:cs="Arial"/>
          <w:spacing w:val="-4"/>
        </w:rPr>
        <w:t xml:space="preserve"> </w:t>
      </w:r>
      <w:r>
        <w:rPr>
          <w:rFonts w:cs="Arial"/>
        </w:rPr>
        <w:t>Vorlage</w:t>
      </w:r>
      <w:r>
        <w:rPr>
          <w:rFonts w:cs="Arial"/>
          <w:spacing w:val="-4"/>
        </w:rPr>
        <w:t xml:space="preserve"> </w:t>
      </w:r>
      <w:r>
        <w:rPr>
          <w:rFonts w:cs="Arial"/>
        </w:rPr>
        <w:t>in</w:t>
      </w:r>
      <w:r>
        <w:rPr>
          <w:rFonts w:cs="Arial"/>
          <w:spacing w:val="-4"/>
        </w:rPr>
        <w:t xml:space="preserve"> </w:t>
      </w:r>
      <w:r>
        <w:rPr>
          <w:rFonts w:cs="Arial"/>
        </w:rPr>
        <w:t>der</w:t>
      </w:r>
      <w:r>
        <w:rPr>
          <w:rFonts w:cs="Arial"/>
          <w:spacing w:val="-4"/>
        </w:rPr>
        <w:t xml:space="preserve"> </w:t>
      </w:r>
      <w:r>
        <w:rPr>
          <w:rFonts w:cs="Arial"/>
        </w:rPr>
        <w:t>Eigenerklärung</w:t>
      </w:r>
      <w:r>
        <w:rPr>
          <w:rFonts w:cs="Arial"/>
          <w:spacing w:val="-4"/>
        </w:rPr>
        <w:t xml:space="preserve"> </w:t>
      </w:r>
      <w:r>
        <w:rPr>
          <w:rFonts w:cs="Arial"/>
        </w:rPr>
        <w:t>genannten</w:t>
      </w:r>
      <w:r>
        <w:rPr>
          <w:rFonts w:cs="Arial"/>
          <w:spacing w:val="-4"/>
        </w:rPr>
        <w:t xml:space="preserve"> </w:t>
      </w:r>
      <w:r>
        <w:rPr>
          <w:rFonts w:cs="Arial"/>
        </w:rPr>
        <w:t>Bescheinigungen</w:t>
      </w:r>
      <w:r>
        <w:rPr>
          <w:rFonts w:cs="Arial"/>
          <w:spacing w:val="-4"/>
        </w:rPr>
        <w:t xml:space="preserve"> </w:t>
      </w:r>
      <w:r>
        <w:rPr>
          <w:rFonts w:cs="Arial"/>
        </w:rPr>
        <w:t>zuständiger</w:t>
      </w:r>
      <w:r>
        <w:rPr>
          <w:rFonts w:cs="Arial"/>
          <w:spacing w:val="-4"/>
        </w:rPr>
        <w:t xml:space="preserve"> </w:t>
      </w:r>
      <w:r>
        <w:rPr>
          <w:rFonts w:cs="Arial"/>
        </w:rPr>
        <w:t>Stellen zu bestätigen. Bescheinigungen, die nicht in deutscher Sprache abgefasst sind, ist eine Übersetzung in die deutsche Sprache beizufügen.</w:t>
      </w:r>
    </w:p>
    <w:p>
      <w:pPr>
        <w:spacing w:line="276" w:lineRule="auto"/>
        <w:contextualSpacing/>
        <w:jc w:val="both"/>
        <w:rPr>
          <w:rFonts w:cs="Arial"/>
        </w:rPr>
      </w:pPr>
    </w:p>
    <w:p>
      <w:pPr>
        <w:spacing w:line="276" w:lineRule="auto"/>
        <w:contextualSpacing/>
        <w:jc w:val="both"/>
        <w:rPr>
          <w:rStyle w:val="Fett"/>
          <w:rFonts w:cs="Arial"/>
        </w:rPr>
      </w:pPr>
      <w:bookmarkStart w:id="5" w:name="_Hlk195182657"/>
      <w:r>
        <w:rPr>
          <w:rStyle w:val="Fett"/>
          <w:rFonts w:cs="Arial"/>
        </w:rPr>
        <w:t>Abfragen im Wettbewerbsregister</w:t>
      </w:r>
    </w:p>
    <w:p>
      <w:pPr>
        <w:spacing w:line="276" w:lineRule="auto"/>
        <w:contextualSpacing/>
        <w:jc w:val="both"/>
        <w:rPr>
          <w:rFonts w:cs="Arial"/>
        </w:rPr>
      </w:pPr>
    </w:p>
    <w:p>
      <w:pPr>
        <w:spacing w:line="276" w:lineRule="auto"/>
        <w:contextualSpacing/>
        <w:jc w:val="both"/>
        <w:rPr>
          <w:rFonts w:cs="Arial"/>
        </w:rPr>
      </w:pPr>
      <w:r>
        <w:rPr>
          <w:rFonts w:cs="Arial"/>
        </w:rPr>
        <w:t>Gemäß § 6 des Wettbewerbsregistergesetzes (WRegG) und § 19 Abs. 3 und 4 des Mindestlohngesetz (MiLoG), tätigt die Vergabestelle, ab einem geschätzten Auftragswert ab 30 000 Euro ohne Umsatzsteuer bei der Registerbehörde eine Abfrage, ob im Wettbewerbsregister Eintragungen zu demjenigen Bieter, an den der öffentliche Auftraggeber den Auftrag zu vergeben beabsichtigt, gespeichert sind.</w:t>
      </w:r>
    </w:p>
    <w:p>
      <w:pPr>
        <w:pStyle w:val="Textkrper"/>
        <w:spacing w:after="0" w:line="276" w:lineRule="auto"/>
        <w:ind w:left="684" w:right="111"/>
        <w:contextualSpacing/>
        <w:jc w:val="both"/>
        <w:rPr>
          <w:rFonts w:cs="Arial"/>
          <w:color w:val="000000" w:themeColor="text1"/>
        </w:rPr>
      </w:pPr>
    </w:p>
    <w:bookmarkEnd w:id="5"/>
    <w:p>
      <w:pPr>
        <w:spacing w:line="276" w:lineRule="auto"/>
        <w:ind w:right="-1"/>
        <w:contextualSpacing/>
        <w:jc w:val="both"/>
        <w:rPr>
          <w:rFonts w:cs="Arial"/>
          <w:spacing w:val="-4"/>
          <w:w w:val="105"/>
          <w:u w:val="single"/>
        </w:rPr>
      </w:pPr>
      <w:r>
        <w:rPr>
          <w:rFonts w:cs="Arial"/>
          <w:spacing w:val="-4"/>
          <w:w w:val="105"/>
          <w:u w:val="single"/>
        </w:rPr>
        <w:t>Nachweis der Leistungsfähigkeit in fachlicher Hinsicht</w:t>
      </w:r>
    </w:p>
    <w:p>
      <w:pPr>
        <w:spacing w:line="276" w:lineRule="auto"/>
        <w:ind w:right="-1"/>
        <w:contextualSpacing/>
        <w:jc w:val="both"/>
        <w:rPr>
          <w:rFonts w:cs="Arial"/>
          <w:b/>
          <w:spacing w:val="-4"/>
          <w:w w:val="105"/>
          <w:u w:val="single"/>
        </w:rPr>
      </w:pPr>
    </w:p>
    <w:p>
      <w:pPr>
        <w:pStyle w:val="Punktaufzhlung"/>
        <w:spacing w:line="276" w:lineRule="auto"/>
        <w:ind w:right="-1"/>
        <w:contextualSpacing/>
        <w:rPr>
          <w:rFonts w:cs="Arial"/>
          <w:szCs w:val="22"/>
          <w:u w:val="single"/>
        </w:rPr>
      </w:pPr>
      <w:r>
        <w:rPr>
          <w:rFonts w:cs="Arial"/>
          <w:szCs w:val="22"/>
        </w:rPr>
        <w:t>Referenz/-en (als Eigenerklärung) über die Durchführung mit der ausgeschriebenen Leistung vergleichbarer Dienstleistungen aus den letzten 5 Jahren</w:t>
      </w:r>
      <w:r>
        <w:rPr>
          <w:rFonts w:cs="Arial"/>
          <w:color w:val="FF0000"/>
          <w:szCs w:val="22"/>
        </w:rPr>
        <w:t xml:space="preserve">. </w:t>
      </w:r>
    </w:p>
    <w:p>
      <w:pPr>
        <w:pStyle w:val="Punktaufzhlung"/>
        <w:numPr>
          <w:ilvl w:val="0"/>
          <w:numId w:val="0"/>
        </w:numPr>
        <w:spacing w:line="276" w:lineRule="auto"/>
        <w:ind w:left="1440" w:right="-1"/>
        <w:contextualSpacing/>
        <w:rPr>
          <w:rFonts w:cs="Arial"/>
          <w:sz w:val="16"/>
          <w:szCs w:val="16"/>
        </w:rPr>
      </w:pPr>
    </w:p>
    <w:p>
      <w:pPr>
        <w:pStyle w:val="Punktaufzhlung"/>
        <w:numPr>
          <w:ilvl w:val="1"/>
          <w:numId w:val="1"/>
        </w:numPr>
        <w:spacing w:line="276" w:lineRule="auto"/>
        <w:ind w:right="-1"/>
        <w:contextualSpacing/>
        <w:rPr>
          <w:rFonts w:cs="Arial"/>
          <w:szCs w:val="22"/>
        </w:rPr>
      </w:pPr>
      <w:r>
        <w:rPr>
          <w:rFonts w:cs="Arial"/>
          <w:szCs w:val="22"/>
        </w:rPr>
        <w:t xml:space="preserve">Vom Bieter sind 3 Referenzen zu priorisieren, d.h. in einer Tabelle aufzuführen unter erstens Benennung des Auftraggebers, zweitens des Auftragsvolumens, drittens der genauen Art der Leistung. </w:t>
      </w:r>
    </w:p>
    <w:p>
      <w:pPr>
        <w:pStyle w:val="Punktaufzhlung"/>
        <w:numPr>
          <w:ilvl w:val="1"/>
          <w:numId w:val="1"/>
        </w:numPr>
        <w:spacing w:line="276" w:lineRule="auto"/>
        <w:ind w:right="-1"/>
        <w:contextualSpacing/>
        <w:rPr>
          <w:rFonts w:cs="Arial"/>
          <w:szCs w:val="22"/>
        </w:rPr>
      </w:pPr>
      <w:r>
        <w:rPr>
          <w:rFonts w:cs="Arial"/>
          <w:szCs w:val="22"/>
        </w:rPr>
        <w:t xml:space="preserve">Die Referenzen dürfen nicht älter als 5 Jahre sein, rückgerechnet von dem Angebotsschlusstermin 01.03.2026. </w:t>
      </w:r>
    </w:p>
    <w:p>
      <w:pPr>
        <w:pStyle w:val="Punktaufzhlung"/>
        <w:numPr>
          <w:ilvl w:val="1"/>
          <w:numId w:val="1"/>
        </w:numPr>
        <w:spacing w:line="276" w:lineRule="auto"/>
        <w:ind w:right="-1"/>
        <w:contextualSpacing/>
        <w:rPr>
          <w:rFonts w:cs="Arial"/>
          <w:szCs w:val="22"/>
        </w:rPr>
      </w:pPr>
      <w:r>
        <w:rPr>
          <w:rFonts w:cs="Arial"/>
          <w:szCs w:val="22"/>
        </w:rPr>
        <w:t>Die Referenzen müssen weiterhin mindestens seit einem halben Jahr seit faktischer Inkraftsetzung des gelebten Vertrages (Realbetrieb) bestehen, d.h. auch hier bezogen auf den 01.03.2026 als Schlusstermin für die Abgabe der Angebote.</w:t>
      </w:r>
    </w:p>
    <w:p>
      <w:pPr>
        <w:spacing w:line="276" w:lineRule="auto"/>
        <w:ind w:right="-1"/>
        <w:contextualSpacing/>
        <w:jc w:val="both"/>
        <w:rPr>
          <w:rFonts w:cs="Arial"/>
          <w:spacing w:val="-7"/>
          <w:w w:val="105"/>
        </w:rPr>
      </w:pPr>
    </w:p>
    <w:p>
      <w:pPr>
        <w:spacing w:line="276" w:lineRule="auto"/>
        <w:ind w:right="-1"/>
        <w:contextualSpacing/>
        <w:jc w:val="both"/>
        <w:rPr>
          <w:rFonts w:cs="Arial"/>
          <w:spacing w:val="-7"/>
          <w:w w:val="105"/>
          <w:u w:val="single"/>
        </w:rPr>
      </w:pPr>
      <w:r>
        <w:rPr>
          <w:rFonts w:cs="Arial"/>
          <w:spacing w:val="-7"/>
          <w:w w:val="105"/>
          <w:u w:val="single"/>
        </w:rPr>
        <w:t>Nachweis der Leistungsfähigkeit in wirtschaftlicher und finanzieller Hinsicht</w:t>
      </w:r>
    </w:p>
    <w:p>
      <w:pPr>
        <w:spacing w:line="276" w:lineRule="auto"/>
        <w:ind w:right="-1"/>
        <w:contextualSpacing/>
        <w:jc w:val="both"/>
        <w:rPr>
          <w:rFonts w:cs="Arial"/>
          <w:b/>
          <w:spacing w:val="-7"/>
          <w:w w:val="105"/>
          <w:u w:val="single"/>
        </w:rPr>
      </w:pPr>
    </w:p>
    <w:p>
      <w:pPr>
        <w:pStyle w:val="Punktaufzhlung"/>
        <w:spacing w:line="276" w:lineRule="auto"/>
        <w:ind w:right="-1"/>
        <w:contextualSpacing/>
        <w:rPr>
          <w:rFonts w:cs="Arial"/>
          <w:szCs w:val="22"/>
        </w:rPr>
      </w:pPr>
      <w:r>
        <w:rPr>
          <w:rFonts w:cs="Arial"/>
          <w:szCs w:val="22"/>
        </w:rPr>
        <w:t>Eigenerklärung über den Gesamtumsatz des Bieters in den letzten drei abgeschlos</w:t>
      </w:r>
      <w:r>
        <w:rPr>
          <w:rFonts w:cs="Arial"/>
          <w:szCs w:val="22"/>
        </w:rPr>
        <w:softHyphen/>
        <w:t>senen Geschäftsjahren (2023 bis 2025). Im Falle von Konzernen oder z.B. Holding-Strukturen sind die jeweiligen Umsatzzahlen des einschlägigen leistungserbringenden Betriebes relevant. Sofern keine eigenständigen Betriebseinheiten existieren, ist schätzungshalber auf Tätigkeitsbereiche bzw. Geschäftsbereiche im Segment der Büromöbel und die dort erlösten Umsätze abzustellen.</w:t>
      </w:r>
      <w:r>
        <w:t xml:space="preserve"> </w:t>
      </w:r>
      <w:r>
        <w:rPr>
          <w:rFonts w:cs="Arial"/>
          <w:szCs w:val="22"/>
        </w:rPr>
        <w:t>Sofern die Abschlüsse für 2025 noch nicht vorliegen bzw. veröffentlicht sein sollten, sind entsprechend die Umsätze der Jahre 2022 bis 2024 anzugeben.</w:t>
      </w:r>
    </w:p>
    <w:p>
      <w:pPr>
        <w:pStyle w:val="Punktaufzhlung"/>
        <w:numPr>
          <w:ilvl w:val="0"/>
          <w:numId w:val="0"/>
        </w:numPr>
        <w:spacing w:line="276" w:lineRule="auto"/>
        <w:ind w:left="360" w:right="-1"/>
        <w:contextualSpacing/>
        <w:rPr>
          <w:rFonts w:cs="Arial"/>
          <w:szCs w:val="22"/>
        </w:rPr>
      </w:pPr>
    </w:p>
    <w:p>
      <w:pPr>
        <w:pStyle w:val="Punktaufzhlung"/>
        <w:spacing w:line="276" w:lineRule="auto"/>
        <w:ind w:right="-1"/>
        <w:contextualSpacing/>
        <w:rPr>
          <w:rFonts w:cs="Arial"/>
          <w:color w:val="000000" w:themeColor="text1"/>
          <w:szCs w:val="22"/>
        </w:rPr>
      </w:pPr>
      <w:r>
        <w:rPr>
          <w:rFonts w:cs="Arial"/>
          <w:color w:val="000000" w:themeColor="text1"/>
          <w:szCs w:val="22"/>
        </w:rPr>
        <w:t xml:space="preserve">Eigenerklärung über das Vorhandensein einer Betriebshaftpflichtversicherung mit einer Deckungssumme von mindestens 1,5 Mio. EUR pro Jahr. </w:t>
      </w:r>
    </w:p>
    <w:p>
      <w:pPr>
        <w:pStyle w:val="Punktaufzhlung"/>
        <w:numPr>
          <w:ilvl w:val="0"/>
          <w:numId w:val="0"/>
        </w:numPr>
        <w:ind w:left="717"/>
        <w:rPr>
          <w:sz w:val="10"/>
          <w:szCs w:val="10"/>
        </w:rPr>
      </w:pPr>
    </w:p>
    <w:p>
      <w:pPr>
        <w:pStyle w:val="Punktaufzhlung"/>
        <w:numPr>
          <w:ilvl w:val="1"/>
          <w:numId w:val="1"/>
        </w:numPr>
        <w:spacing w:line="276" w:lineRule="auto"/>
        <w:ind w:right="-1"/>
        <w:contextualSpacing/>
        <w:rPr>
          <w:rFonts w:cs="Arial"/>
          <w:color w:val="000000" w:themeColor="text1"/>
          <w:szCs w:val="22"/>
        </w:rPr>
      </w:pPr>
      <w:r>
        <w:rPr>
          <w:rFonts w:cs="Arial"/>
          <w:color w:val="000000" w:themeColor="text1"/>
          <w:szCs w:val="22"/>
          <w:u w:val="single"/>
        </w:rPr>
        <w:t>Hinweis</w:t>
      </w:r>
      <w:r>
        <w:rPr>
          <w:rFonts w:cs="Arial"/>
          <w:color w:val="000000" w:themeColor="text1"/>
          <w:szCs w:val="22"/>
        </w:rPr>
        <w:t>: Die weitere Existenz dieser Versicherung ist zum Ende eines jeden Jahres, beginnend mit dem 31.12.2026, in geeigneter Weise unaufgefordert dem Jobcenter Wuppertal in Form einer Kopie der Rechnung dieser Ver</w:t>
      </w:r>
      <w:r>
        <w:rPr>
          <w:rFonts w:cs="Arial"/>
          <w:color w:val="000000" w:themeColor="text1"/>
          <w:szCs w:val="22"/>
        </w:rPr>
        <w:softHyphen/>
        <w:t>sicherung oder bspw. über eine Policenbestätigung etc. nachzuweisen.</w:t>
      </w:r>
    </w:p>
    <w:p>
      <w:pPr>
        <w:spacing w:line="276" w:lineRule="auto"/>
        <w:ind w:right="-1"/>
        <w:contextualSpacing/>
        <w:jc w:val="both"/>
        <w:rPr>
          <w:rFonts w:cs="Arial"/>
          <w:spacing w:val="-7"/>
          <w:w w:val="105"/>
        </w:rPr>
      </w:pPr>
    </w:p>
    <w:p>
      <w:pPr>
        <w:spacing w:line="276" w:lineRule="auto"/>
        <w:ind w:right="-1"/>
        <w:contextualSpacing/>
        <w:jc w:val="both"/>
        <w:rPr>
          <w:rFonts w:cs="Arial"/>
          <w:spacing w:val="-7"/>
          <w:w w:val="105"/>
        </w:rPr>
      </w:pPr>
    </w:p>
    <w:p>
      <w:pPr>
        <w:spacing w:line="276" w:lineRule="auto"/>
        <w:ind w:right="-1"/>
        <w:contextualSpacing/>
        <w:jc w:val="both"/>
        <w:rPr>
          <w:rFonts w:cs="Arial"/>
          <w:spacing w:val="-7"/>
          <w:w w:val="105"/>
        </w:rPr>
      </w:pPr>
    </w:p>
    <w:p>
      <w:pPr>
        <w:spacing w:line="276" w:lineRule="auto"/>
        <w:ind w:right="-1"/>
        <w:contextualSpacing/>
        <w:jc w:val="both"/>
        <w:rPr>
          <w:rFonts w:cs="Arial"/>
          <w:spacing w:val="-7"/>
          <w:w w:val="105"/>
          <w:u w:val="single"/>
        </w:rPr>
      </w:pPr>
      <w:r>
        <w:rPr>
          <w:rFonts w:cs="Arial"/>
          <w:spacing w:val="-7"/>
          <w:w w:val="105"/>
          <w:u w:val="single"/>
        </w:rPr>
        <w:t xml:space="preserve">Weitere Nachweise (gemäß Teil D. der Vergabeunterlage): </w:t>
      </w:r>
    </w:p>
    <w:p>
      <w:pPr>
        <w:spacing w:line="276" w:lineRule="auto"/>
        <w:ind w:right="-1"/>
        <w:contextualSpacing/>
        <w:jc w:val="both"/>
        <w:rPr>
          <w:rFonts w:cs="Arial"/>
          <w:b/>
          <w:spacing w:val="-7"/>
          <w:w w:val="105"/>
          <w:u w:val="single"/>
        </w:rPr>
      </w:pPr>
    </w:p>
    <w:p>
      <w:pPr>
        <w:numPr>
          <w:ilvl w:val="0"/>
          <w:numId w:val="10"/>
        </w:numPr>
        <w:spacing w:line="276" w:lineRule="auto"/>
        <w:ind w:right="-1"/>
        <w:contextualSpacing/>
        <w:jc w:val="both"/>
        <w:rPr>
          <w:rFonts w:cs="Arial"/>
        </w:rPr>
      </w:pPr>
      <w:r>
        <w:rPr>
          <w:rFonts w:cs="Arial"/>
        </w:rPr>
        <w:t xml:space="preserve">Bietererklärung </w:t>
      </w:r>
    </w:p>
    <w:p>
      <w:pPr>
        <w:pStyle w:val="KeinLeerraum"/>
        <w:numPr>
          <w:ilvl w:val="0"/>
          <w:numId w:val="10"/>
        </w:numPr>
        <w:spacing w:line="276" w:lineRule="auto"/>
        <w:contextualSpacing/>
        <w:jc w:val="both"/>
        <w:rPr>
          <w:rFonts w:ascii="Arial" w:hAnsi="Arial" w:cs="Arial"/>
        </w:rPr>
      </w:pPr>
      <w:r>
        <w:rPr>
          <w:rFonts w:ascii="Arial" w:hAnsi="Arial" w:cs="Arial"/>
        </w:rPr>
        <w:t>Eigenerklärung zum Mindestlohn</w:t>
      </w:r>
    </w:p>
    <w:p>
      <w:pPr>
        <w:numPr>
          <w:ilvl w:val="0"/>
          <w:numId w:val="10"/>
        </w:numPr>
        <w:spacing w:line="276" w:lineRule="auto"/>
        <w:ind w:right="-1"/>
        <w:contextualSpacing/>
        <w:jc w:val="both"/>
        <w:rPr>
          <w:rFonts w:cs="Arial"/>
        </w:rPr>
      </w:pPr>
      <w:r>
        <w:rPr>
          <w:rFonts w:cs="Arial"/>
        </w:rPr>
        <w:t>Eigenerklärung über die Einhaltung der Ausführungen zum Datenschutz in der Leistungsbeschreibung und der genannten Mindestanforderungen an die Daten</w:t>
      </w:r>
      <w:r>
        <w:rPr>
          <w:rFonts w:cs="Arial"/>
        </w:rPr>
        <w:softHyphen/>
        <w:t>qualität.</w:t>
      </w:r>
    </w:p>
    <w:p>
      <w:pPr>
        <w:pStyle w:val="Punktaufzhlung"/>
        <w:numPr>
          <w:ilvl w:val="0"/>
          <w:numId w:val="0"/>
        </w:numPr>
        <w:spacing w:line="276" w:lineRule="auto"/>
        <w:ind w:right="-1"/>
        <w:contextualSpacing/>
        <w:rPr>
          <w:rFonts w:cs="Arial"/>
          <w:szCs w:val="22"/>
          <w:u w:val="single"/>
        </w:rPr>
      </w:pPr>
    </w:p>
    <w:p>
      <w:pPr>
        <w:pStyle w:val="Punktaufzhlung"/>
        <w:numPr>
          <w:ilvl w:val="0"/>
          <w:numId w:val="0"/>
        </w:numPr>
        <w:spacing w:line="276" w:lineRule="auto"/>
        <w:ind w:left="360" w:right="-1"/>
        <w:contextualSpacing/>
        <w:rPr>
          <w:rFonts w:cs="Arial"/>
          <w:szCs w:val="22"/>
        </w:rPr>
      </w:pPr>
    </w:p>
    <w:p>
      <w:pPr>
        <w:spacing w:line="276" w:lineRule="auto"/>
        <w:contextualSpacing/>
        <w:jc w:val="both"/>
        <w:rPr>
          <w:rFonts w:eastAsia="Times" w:cs="Arial"/>
          <w:b/>
          <w:lang w:eastAsia="de-DE"/>
        </w:rPr>
      </w:pPr>
      <w:r>
        <w:rPr>
          <w:rFonts w:cs="Arial"/>
          <w:b/>
          <w:u w:val="single"/>
        </w:rPr>
        <w:t xml:space="preserve">Hinweis: </w:t>
      </w:r>
    </w:p>
    <w:p>
      <w:pPr>
        <w:spacing w:line="276" w:lineRule="auto"/>
        <w:contextualSpacing/>
        <w:jc w:val="both"/>
        <w:rPr>
          <w:rFonts w:cs="Arial"/>
        </w:rPr>
      </w:pPr>
      <w:r>
        <w:rPr>
          <w:rFonts w:cs="Arial"/>
        </w:rPr>
        <w:t>Die vorgegebenen beigefügten Angebotsvordrucke sind zu verwenden. Es ist darauf zu achten, dass die Angebotsvordrucke vollständig ausgefüllt sind.</w:t>
      </w:r>
    </w:p>
    <w:p>
      <w:pPr>
        <w:spacing w:line="276" w:lineRule="auto"/>
        <w:ind w:right="-1"/>
        <w:contextualSpacing/>
        <w:jc w:val="both"/>
        <w:rPr>
          <w:rFonts w:cs="Arial"/>
        </w:rPr>
      </w:pPr>
    </w:p>
    <w:p>
      <w:pPr>
        <w:spacing w:line="276" w:lineRule="auto"/>
        <w:ind w:right="-1"/>
        <w:contextualSpacing/>
        <w:jc w:val="both"/>
        <w:rPr>
          <w:rFonts w:cs="Arial"/>
        </w:rPr>
      </w:pPr>
      <w:r>
        <w:rPr>
          <w:rFonts w:cs="Arial"/>
        </w:rPr>
        <w:t>Die ausschreibende Stelle behält sich vor, im Laufe der Angebotsbewertung folgende Nachweise ergänzend von den Bietenden zu fordern:</w:t>
      </w:r>
    </w:p>
    <w:p>
      <w:pPr>
        <w:spacing w:line="276" w:lineRule="auto"/>
        <w:ind w:right="-1"/>
        <w:contextualSpacing/>
        <w:jc w:val="both"/>
        <w:rPr>
          <w:rFonts w:cs="Arial"/>
        </w:rPr>
      </w:pPr>
    </w:p>
    <w:p>
      <w:pPr>
        <w:numPr>
          <w:ilvl w:val="0"/>
          <w:numId w:val="11"/>
        </w:numPr>
        <w:spacing w:line="276" w:lineRule="auto"/>
        <w:ind w:right="-1"/>
        <w:contextualSpacing/>
        <w:jc w:val="both"/>
        <w:rPr>
          <w:rFonts w:cs="Arial"/>
        </w:rPr>
      </w:pPr>
      <w:r>
        <w:rPr>
          <w:rFonts w:cs="Arial"/>
        </w:rPr>
        <w:t>Bilanzen oder Bilanzauszüge aus den letzten drei abgeschlossenen Geschäftsjahren oder andere geeignete Nachweise für diesen Zeitraum (z.B. Erklärung einer Wirtschaftsprüferin oder eines Wirtschaftsprüfers bzw. einer Steuerberaterin oder eines Steuerberaters), welche die Solvenz der oder des Bietenden nachweist</w:t>
      </w:r>
    </w:p>
    <w:p>
      <w:pPr>
        <w:numPr>
          <w:ilvl w:val="0"/>
          <w:numId w:val="11"/>
        </w:numPr>
        <w:spacing w:line="276" w:lineRule="auto"/>
        <w:ind w:right="-1"/>
        <w:contextualSpacing/>
        <w:jc w:val="both"/>
        <w:rPr>
          <w:rFonts w:cs="Arial"/>
        </w:rPr>
      </w:pPr>
      <w:r>
        <w:rPr>
          <w:rFonts w:cs="Arial"/>
        </w:rPr>
        <w:t>Aktueller Versicherungsschein über das Vorhandensein einer Betriebshaftpflicht</w:t>
      </w:r>
      <w:r>
        <w:rPr>
          <w:rFonts w:cs="Arial"/>
        </w:rPr>
        <w:softHyphen/>
        <w:t>versicherung mit oben genannter Deckungssumme</w:t>
      </w:r>
    </w:p>
    <w:p>
      <w:pPr>
        <w:numPr>
          <w:ilvl w:val="0"/>
          <w:numId w:val="11"/>
        </w:numPr>
        <w:spacing w:line="276" w:lineRule="auto"/>
        <w:ind w:right="-1"/>
        <w:contextualSpacing/>
        <w:jc w:val="both"/>
        <w:rPr>
          <w:rFonts w:cs="Arial"/>
        </w:rPr>
      </w:pPr>
      <w:r>
        <w:rPr>
          <w:rFonts w:cs="Arial"/>
        </w:rPr>
        <w:t xml:space="preserve">Steuerliche Unbedenklichkeitsbescheinigung </w:t>
      </w:r>
    </w:p>
    <w:p>
      <w:pPr>
        <w:spacing w:line="276" w:lineRule="auto"/>
        <w:ind w:right="-1"/>
        <w:contextualSpacing/>
        <w:jc w:val="both"/>
        <w:rPr>
          <w:rFonts w:cs="Arial"/>
        </w:rPr>
      </w:pPr>
    </w:p>
    <w:p>
      <w:pPr>
        <w:spacing w:line="276" w:lineRule="auto"/>
        <w:ind w:right="-1"/>
        <w:contextualSpacing/>
        <w:jc w:val="both"/>
        <w:rPr>
          <w:rFonts w:cs="Arial"/>
          <w:u w:val="single"/>
        </w:rPr>
      </w:pPr>
    </w:p>
    <w:p>
      <w:pPr>
        <w:spacing w:line="276" w:lineRule="auto"/>
        <w:ind w:right="-1"/>
        <w:contextualSpacing/>
        <w:jc w:val="both"/>
        <w:rPr>
          <w:rFonts w:cs="Arial"/>
          <w:b/>
          <w:bCs/>
          <w:u w:val="single"/>
        </w:rPr>
      </w:pPr>
      <w:r>
        <w:rPr>
          <w:rFonts w:cs="Arial"/>
          <w:b/>
          <w:bCs/>
          <w:u w:val="single"/>
        </w:rPr>
        <w:t xml:space="preserve">„Angebotsteil II“: Ausführungen und notwendige Angaben des Bieters zum Zuschlagskriterium „Preis“ gemäß gesondertem Formular </w:t>
      </w:r>
    </w:p>
    <w:p>
      <w:pPr>
        <w:spacing w:line="276" w:lineRule="auto"/>
        <w:ind w:right="-1"/>
        <w:contextualSpacing/>
        <w:jc w:val="both"/>
        <w:rPr>
          <w:rFonts w:cs="Arial"/>
          <w:b/>
          <w:bCs/>
          <w:u w:val="single"/>
        </w:rPr>
      </w:pPr>
    </w:p>
    <w:p>
      <w:pPr>
        <w:spacing w:line="276" w:lineRule="auto"/>
        <w:ind w:right="-1"/>
        <w:contextualSpacing/>
        <w:jc w:val="both"/>
        <w:rPr>
          <w:rFonts w:cs="Arial"/>
          <w:b/>
          <w:u w:val="single"/>
        </w:rPr>
      </w:pPr>
    </w:p>
    <w:p>
      <w:pPr>
        <w:spacing w:line="276" w:lineRule="auto"/>
        <w:ind w:right="-1"/>
        <w:contextualSpacing/>
        <w:jc w:val="both"/>
        <w:rPr>
          <w:rFonts w:cs="Arial"/>
          <w:u w:val="single"/>
        </w:rPr>
      </w:pPr>
      <w:r>
        <w:rPr>
          <w:rFonts w:cs="Arial"/>
          <w:u w:val="single"/>
        </w:rPr>
        <w:t>Bei der Abgabe des Angebots ist Folgendes zu beachten:</w:t>
      </w:r>
    </w:p>
    <w:p>
      <w:pPr>
        <w:spacing w:line="276" w:lineRule="auto"/>
        <w:ind w:right="-1"/>
        <w:contextualSpacing/>
        <w:jc w:val="both"/>
        <w:rPr>
          <w:rFonts w:cs="Arial"/>
          <w:u w:val="single"/>
        </w:rPr>
      </w:pPr>
    </w:p>
    <w:p>
      <w:pPr>
        <w:numPr>
          <w:ilvl w:val="0"/>
          <w:numId w:val="12"/>
        </w:numPr>
        <w:tabs>
          <w:tab w:val="num" w:pos="284"/>
        </w:tabs>
        <w:spacing w:line="276" w:lineRule="auto"/>
        <w:ind w:right="-1"/>
        <w:contextualSpacing/>
        <w:jc w:val="both"/>
        <w:rPr>
          <w:rFonts w:cs="Arial"/>
        </w:rPr>
      </w:pPr>
      <w:r>
        <w:rPr>
          <w:rFonts w:cs="Arial"/>
        </w:rPr>
        <w:t xml:space="preserve">Es sind für die angebotene Leistung </w:t>
      </w:r>
      <w:r>
        <w:rPr>
          <w:rFonts w:cs="Arial"/>
          <w:u w:val="single"/>
        </w:rPr>
        <w:t>alle</w:t>
      </w:r>
      <w:r>
        <w:rPr>
          <w:rFonts w:cs="Arial"/>
        </w:rPr>
        <w:t xml:space="preserve"> im LV – Preisblatt Büromöbel („Angebotsteil II – Ausführungen zum Zuschlagskriterium Preis“) aufgeführten Positionen auszufüllen. Es sind ausschließlich die dafür vorgesehenen Stellen auszufüllen.</w:t>
      </w:r>
    </w:p>
    <w:p>
      <w:pPr>
        <w:numPr>
          <w:ilvl w:val="0"/>
          <w:numId w:val="12"/>
        </w:numPr>
        <w:tabs>
          <w:tab w:val="num" w:pos="284"/>
        </w:tabs>
        <w:spacing w:line="276" w:lineRule="auto"/>
        <w:ind w:right="-1"/>
        <w:contextualSpacing/>
        <w:jc w:val="both"/>
        <w:rPr>
          <w:rFonts w:cs="Arial"/>
        </w:rPr>
      </w:pPr>
      <w:r>
        <w:rPr>
          <w:rFonts w:cs="Arial"/>
        </w:rPr>
        <w:t>Änderungen, Ergänzungen und Berichtigungen der eigenen Eintragungen bzw. Angaben müssen zweifelsfrei und in einem separaten, eigenen Dokument aufgeführt sein.</w:t>
      </w:r>
    </w:p>
    <w:p>
      <w:pPr>
        <w:numPr>
          <w:ilvl w:val="0"/>
          <w:numId w:val="12"/>
        </w:numPr>
        <w:tabs>
          <w:tab w:val="num" w:pos="284"/>
        </w:tabs>
        <w:spacing w:line="276" w:lineRule="auto"/>
        <w:ind w:right="-1"/>
        <w:contextualSpacing/>
        <w:jc w:val="both"/>
        <w:rPr>
          <w:rFonts w:cs="Arial"/>
        </w:rPr>
      </w:pPr>
      <w:r>
        <w:rPr>
          <w:rFonts w:cs="Arial"/>
        </w:rPr>
        <w:t>Es ist darauf zu achten, dass eine handlungsbevollmächtigte Person benannt ist.</w:t>
      </w:r>
    </w:p>
    <w:p>
      <w:pPr>
        <w:pStyle w:val="KeinLeerraum"/>
        <w:spacing w:line="276" w:lineRule="auto"/>
        <w:contextualSpacing/>
        <w:jc w:val="both"/>
        <w:rPr>
          <w:rFonts w:ascii="Arial" w:hAnsi="Arial" w:cs="Arial"/>
        </w:rPr>
      </w:pPr>
    </w:p>
    <w:p>
      <w:pPr>
        <w:spacing w:line="276" w:lineRule="auto"/>
        <w:ind w:right="-1"/>
        <w:contextualSpacing/>
        <w:jc w:val="both"/>
        <w:rPr>
          <w:rFonts w:eastAsia="Times New Roman" w:cs="Arial"/>
        </w:rPr>
      </w:pPr>
      <w:r>
        <w:rPr>
          <w:rFonts w:cs="Arial"/>
        </w:rPr>
        <w:t>Das Angebot ist ausschließlich über den Vergabemarktplatz Rheinland einzureichen.</w:t>
      </w:r>
      <w:r>
        <w:rPr>
          <w:rFonts w:cs="Arial"/>
        </w:rPr>
        <w:br w:type="page"/>
      </w:r>
    </w:p>
    <w:p>
      <w:pPr>
        <w:pStyle w:val="berschrift3"/>
        <w:spacing w:line="276" w:lineRule="auto"/>
        <w:contextualSpacing/>
        <w:jc w:val="both"/>
        <w:rPr>
          <w:rFonts w:cs="Arial"/>
          <w:szCs w:val="22"/>
        </w:rPr>
      </w:pPr>
      <w:bookmarkStart w:id="6" w:name="_Toc196302805"/>
      <w:r>
        <w:rPr>
          <w:rFonts w:cs="Arial"/>
          <w:szCs w:val="22"/>
        </w:rPr>
        <w:lastRenderedPageBreak/>
        <w:t>A.1.4</w:t>
      </w:r>
      <w:r>
        <w:rPr>
          <w:rFonts w:cs="Arial"/>
          <w:szCs w:val="22"/>
        </w:rPr>
        <w:tab/>
        <w:t>Kurzbeschreibung der Leistung</w:t>
      </w:r>
      <w:bookmarkEnd w:id="6"/>
      <w:r>
        <w:rPr>
          <w:rFonts w:cs="Arial"/>
          <w:szCs w:val="22"/>
        </w:rPr>
        <w:t xml:space="preserve"> </w:t>
      </w:r>
    </w:p>
    <w:p>
      <w:pPr>
        <w:spacing w:line="276" w:lineRule="auto"/>
        <w:contextualSpacing/>
        <w:jc w:val="both"/>
        <w:rPr>
          <w:rFonts w:cs="Arial"/>
        </w:rPr>
      </w:pPr>
    </w:p>
    <w:p>
      <w:pPr>
        <w:pStyle w:val="KeinLeerraum"/>
        <w:spacing w:line="276" w:lineRule="auto"/>
        <w:jc w:val="both"/>
        <w:rPr>
          <w:rFonts w:ascii="Arial" w:hAnsi="Arial" w:cs="Arial"/>
        </w:rPr>
      </w:pPr>
      <w:r>
        <w:rPr>
          <w:rFonts w:ascii="Arial" w:hAnsi="Arial" w:cs="Arial"/>
        </w:rPr>
        <w:t>Die Jobcenter Wuppertal AöR schreibt die Herstellung, Lieferung und Montage von Büromöbeln aus.</w:t>
      </w:r>
    </w:p>
    <w:p>
      <w:pPr>
        <w:spacing w:line="276" w:lineRule="auto"/>
        <w:ind w:right="-1"/>
        <w:contextualSpacing/>
        <w:jc w:val="both"/>
        <w:rPr>
          <w:rFonts w:cs="Arial"/>
        </w:rPr>
      </w:pPr>
      <w:r>
        <w:rPr>
          <w:rFonts w:cs="Arial"/>
        </w:rPr>
        <w:t>Bezüglich der zu erbringenden Leistung vergleiche Teile B und C der Vergabeunterlagen.</w:t>
      </w:r>
    </w:p>
    <w:p>
      <w:pPr>
        <w:spacing w:line="276" w:lineRule="auto"/>
        <w:ind w:right="-1"/>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7" w:name="_Toc196302806"/>
      <w:r>
        <w:rPr>
          <w:rFonts w:cs="Arial"/>
          <w:szCs w:val="22"/>
        </w:rPr>
        <w:t>A.1.5</w:t>
      </w:r>
      <w:r>
        <w:rPr>
          <w:rFonts w:cs="Arial"/>
          <w:szCs w:val="22"/>
        </w:rPr>
        <w:tab/>
        <w:t>Grundlagen der Zusammenarbeit</w:t>
      </w:r>
      <w:bookmarkEnd w:id="7"/>
      <w:r>
        <w:rPr>
          <w:rFonts w:cs="Arial"/>
          <w:szCs w:val="22"/>
        </w:rPr>
        <w:t xml:space="preserve"> </w:t>
      </w:r>
    </w:p>
    <w:p>
      <w:pPr>
        <w:spacing w:line="276" w:lineRule="auto"/>
        <w:contextualSpacing/>
        <w:jc w:val="both"/>
        <w:rPr>
          <w:rFonts w:cs="Arial"/>
        </w:rPr>
      </w:pPr>
    </w:p>
    <w:p>
      <w:pPr>
        <w:spacing w:line="276" w:lineRule="auto"/>
        <w:ind w:right="-1"/>
        <w:contextualSpacing/>
        <w:jc w:val="both"/>
        <w:rPr>
          <w:rFonts w:cs="Arial"/>
        </w:rPr>
      </w:pPr>
      <w:r>
        <w:rPr>
          <w:rFonts w:cs="Arial"/>
        </w:rPr>
        <w:t>Die oder der Auftragnehmende verpflichtet sich, mit der Auftraggeberin den im Teil B der</w:t>
      </w:r>
      <w:r>
        <w:rPr>
          <w:rFonts w:cs="Arial"/>
        </w:rPr>
        <w:br/>
        <w:t>Vergabeunterlagen beiliegenden Vertrag abzuschließen. Darüber hinaus gilt gemäß Teil B.</w:t>
      </w:r>
      <w:r>
        <w:rPr>
          <w:rFonts w:cs="Arial"/>
        </w:rPr>
        <w:br/>
        <w:t>der Vergabeunterlage insbesondere die VOL/B (aktuelle Fassung 2003, siehe Anhang</w:t>
      </w:r>
      <w:r>
        <w:rPr>
          <w:rFonts w:cs="Arial"/>
        </w:rPr>
        <w:br/>
        <w:t>Formular 512) als Vertragsbestandteil. Mit der Zuschlagserteilung gilt der Vertrag als</w:t>
      </w:r>
      <w:r>
        <w:rPr>
          <w:rFonts w:cs="Arial"/>
        </w:rPr>
        <w:br/>
        <w:t>geschlossen. Eine gesonderte Unterzeichnung ist dafür nicht erforderlich.</w:t>
      </w:r>
      <w:r>
        <w:rPr>
          <w:rFonts w:cs="Arial"/>
        </w:rPr>
        <w:br/>
        <w:t>Die Auftraggeberin weist die Auftragnehmende oder den Auftragnehmenden darauf hin, dass</w:t>
      </w:r>
      <w:r>
        <w:rPr>
          <w:rFonts w:cs="Arial"/>
        </w:rPr>
        <w:br/>
        <w:t>die gezahlten öffentlichen Mittel im Sinne des öffentlichen Rechts, insbesondere des gültigen</w:t>
      </w:r>
      <w:r>
        <w:rPr>
          <w:rFonts w:cs="Arial"/>
        </w:rPr>
        <w:br/>
        <w:t>Vergaberechts, zu verwalten sind.</w:t>
      </w: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8" w:name="_Toc196302807"/>
      <w:r>
        <w:rPr>
          <w:rFonts w:cs="Arial"/>
          <w:szCs w:val="22"/>
        </w:rPr>
        <w:t>A.1.6</w:t>
      </w:r>
      <w:r>
        <w:rPr>
          <w:rFonts w:cs="Arial"/>
          <w:szCs w:val="22"/>
        </w:rPr>
        <w:tab/>
        <w:t>Unzulässige Wettbewerbsbeschränkungen</w:t>
      </w:r>
      <w:bookmarkEnd w:id="8"/>
      <w:r>
        <w:rPr>
          <w:rFonts w:cs="Arial"/>
          <w:szCs w:val="22"/>
        </w:rPr>
        <w:t xml:space="preserve"> </w:t>
      </w:r>
    </w:p>
    <w:p>
      <w:pPr>
        <w:spacing w:line="276" w:lineRule="auto"/>
        <w:contextualSpacing/>
        <w:jc w:val="both"/>
        <w:rPr>
          <w:rFonts w:cs="Arial"/>
        </w:rPr>
      </w:pPr>
    </w:p>
    <w:p>
      <w:pPr>
        <w:pStyle w:val="Textkrper"/>
        <w:spacing w:after="0" w:line="276" w:lineRule="auto"/>
        <w:ind w:right="111"/>
        <w:contextualSpacing/>
        <w:jc w:val="both"/>
        <w:rPr>
          <w:rFonts w:cs="Arial"/>
        </w:rPr>
      </w:pPr>
      <w:bookmarkStart w:id="9" w:name="_Toc56315235"/>
      <w:bookmarkStart w:id="10" w:name="_Toc58041499"/>
      <w:bookmarkStart w:id="11" w:name="_Toc58301279"/>
      <w:bookmarkStart w:id="12" w:name="_Toc58980940"/>
      <w:bookmarkStart w:id="13" w:name="_Toc62617273"/>
      <w:bookmarkStart w:id="14" w:name="_Toc64884663"/>
      <w:bookmarkStart w:id="15" w:name="_Toc69896167"/>
      <w:bookmarkStart w:id="16" w:name="_Toc73336126"/>
      <w:bookmarkStart w:id="17" w:name="_Toc73336373"/>
      <w:bookmarkStart w:id="18" w:name="_Toc74741943"/>
      <w:bookmarkStart w:id="19" w:name="_Toc79490836"/>
      <w:bookmarkStart w:id="20" w:name="_Toc80180540"/>
      <w:bookmarkStart w:id="21" w:name="_Toc80421694"/>
      <w:bookmarkStart w:id="22" w:name="_Toc83188125"/>
      <w:bookmarkStart w:id="23" w:name="_Toc83445035"/>
      <w:bookmarkStart w:id="24" w:name="_Toc83445700"/>
      <w:bookmarkStart w:id="25" w:name="_Toc83797456"/>
      <w:bookmarkStart w:id="26" w:name="_Toc84213733"/>
      <w:bookmarkStart w:id="27" w:name="_Toc86484779"/>
      <w:bookmarkStart w:id="28" w:name="_Toc96765991"/>
      <w:bookmarkStart w:id="29" w:name="_Toc96772811"/>
      <w:bookmarkStart w:id="30" w:name="_Toc97108223"/>
      <w:bookmarkStart w:id="31" w:name="_Toc516226682"/>
      <w:bookmarkStart w:id="32" w:name="_Toc107218858"/>
      <w:bookmarkStart w:id="33" w:name="_Toc109727298"/>
      <w:bookmarkStart w:id="34" w:name="_Toc110135339"/>
      <w:bookmarkStart w:id="35" w:name="_Toc125283314"/>
      <w:bookmarkStart w:id="36" w:name="_Toc536864878"/>
      <w:bookmarkStart w:id="37" w:name="_Toc1639749"/>
      <w:bookmarkStart w:id="38" w:name="_Toc3633048"/>
      <w:bookmarkStart w:id="39" w:name="_Toc5085441"/>
      <w:bookmarkStart w:id="40" w:name="_Toc5085564"/>
      <w:bookmarkStart w:id="41" w:name="_Toc5086707"/>
      <w:bookmarkStart w:id="42" w:name="_Toc5087053"/>
      <w:r>
        <w:rPr>
          <w:rFonts w:cs="Arial"/>
        </w:rPr>
        <w:t>Zur Bekämpfung von Wettbewerbsbeschränkungen hat der Bieter auf Verlangen Auskünfte darüber zu geben, ob und auf welche Art er wirtschaftlich und rechtlich mit Unternehmen verbunden ist.</w:t>
      </w:r>
    </w:p>
    <w:p>
      <w:pPr>
        <w:pStyle w:val="Textkrper"/>
        <w:spacing w:after="0" w:line="276" w:lineRule="auto"/>
        <w:contextualSpacing/>
        <w:jc w:val="both"/>
        <w:rPr>
          <w:rFonts w:cs="Arial"/>
        </w:rPr>
      </w:pPr>
    </w:p>
    <w:p>
      <w:pPr>
        <w:pStyle w:val="Textkrper"/>
        <w:spacing w:after="0" w:line="276" w:lineRule="auto"/>
        <w:contextualSpacing/>
        <w:jc w:val="both"/>
        <w:rPr>
          <w:rFonts w:cs="Arial"/>
        </w:rPr>
      </w:pPr>
      <w:r>
        <w:rPr>
          <w:rFonts w:cs="Arial"/>
        </w:rPr>
        <w:t>Angebote von Bietern, die sich im Zusammenhang mit diesem Vertragsverfahren an einer wettbewerbsbeschränkenden Absprache beteiligen, werden ausgeschlossen.</w:t>
      </w:r>
    </w:p>
    <w:p>
      <w:pPr>
        <w:pStyle w:val="Textkrper"/>
        <w:spacing w:after="0" w:line="276" w:lineRule="auto"/>
        <w:contextualSpacing/>
        <w:jc w:val="both"/>
        <w:rPr>
          <w:rFonts w:cs="Arial"/>
        </w:rPr>
      </w:pPr>
    </w:p>
    <w:p>
      <w:pPr>
        <w:pStyle w:val="Textkrper"/>
        <w:spacing w:after="0" w:line="276" w:lineRule="auto"/>
        <w:contextualSpacing/>
        <w:jc w:val="both"/>
        <w:rPr>
          <w:rFonts w:cs="Arial"/>
        </w:rPr>
      </w:pPr>
      <w:r>
        <w:rPr>
          <w:rFonts w:cs="Arial"/>
        </w:rPr>
        <w:t>Der Bieter verpflichtet sich, die gesetzlichen Vorschriften zur Bekämpfung der Korruption zu beachten. Insbesondere versichert er, dass er Mitarbeitern des Auftraggebers keine unzulässigen Vorteile anbietet, verspricht oder gewährt. Gleiches Verbot gilt für Mitarbeiter des Bieters, Erfüllungsgehilfen oder sonstige Dritte, die nach Weisung des Bieters handeln.</w:t>
      </w:r>
    </w:p>
    <w:p>
      <w:pPr>
        <w:pStyle w:val="Textkrper"/>
        <w:spacing w:after="0" w:line="276" w:lineRule="auto"/>
        <w:contextualSpacing/>
        <w:jc w:val="both"/>
        <w:rPr>
          <w:rFonts w:cs="Arial"/>
        </w:rPr>
      </w:pPr>
    </w:p>
    <w:p>
      <w:pPr>
        <w:pStyle w:val="Textkrper"/>
        <w:spacing w:after="0" w:line="276" w:lineRule="auto"/>
        <w:ind w:right="111"/>
        <w:contextualSpacing/>
        <w:jc w:val="both"/>
        <w:rPr>
          <w:rFonts w:cs="Arial"/>
        </w:rPr>
      </w:pPr>
      <w:r>
        <w:rPr>
          <w:rFonts w:cs="Arial"/>
        </w:rPr>
        <w:t>Stellt der Auftraggeber fest, dass der Bieter gegen</w:t>
      </w:r>
      <w:r>
        <w:rPr>
          <w:rFonts w:cs="Arial"/>
          <w:spacing w:val="-4"/>
        </w:rPr>
        <w:t xml:space="preserve"> </w:t>
      </w:r>
      <w:r>
        <w:rPr>
          <w:rFonts w:cs="Arial"/>
        </w:rPr>
        <w:t>einen</w:t>
      </w:r>
      <w:r>
        <w:rPr>
          <w:rFonts w:cs="Arial"/>
          <w:spacing w:val="-4"/>
        </w:rPr>
        <w:t xml:space="preserve"> </w:t>
      </w:r>
      <w:r>
        <w:rPr>
          <w:rFonts w:cs="Arial"/>
        </w:rPr>
        <w:t>der</w:t>
      </w:r>
      <w:r>
        <w:rPr>
          <w:rFonts w:cs="Arial"/>
          <w:spacing w:val="-4"/>
        </w:rPr>
        <w:t xml:space="preserve"> </w:t>
      </w:r>
      <w:r>
        <w:rPr>
          <w:rFonts w:cs="Arial"/>
        </w:rPr>
        <w:t>in</w:t>
      </w:r>
      <w:r>
        <w:rPr>
          <w:rFonts w:cs="Arial"/>
          <w:spacing w:val="-4"/>
        </w:rPr>
        <w:t xml:space="preserve"> </w:t>
      </w:r>
      <w:r>
        <w:rPr>
          <w:rFonts w:cs="Arial"/>
        </w:rPr>
        <w:t>der</w:t>
      </w:r>
      <w:r>
        <w:rPr>
          <w:rFonts w:cs="Arial"/>
          <w:spacing w:val="-4"/>
        </w:rPr>
        <w:t xml:space="preserve"> </w:t>
      </w:r>
      <w:r>
        <w:rPr>
          <w:rFonts w:cs="Arial"/>
        </w:rPr>
        <w:t>Ziffer</w:t>
      </w:r>
      <w:r>
        <w:rPr>
          <w:rFonts w:cs="Arial"/>
          <w:spacing w:val="-4"/>
        </w:rPr>
        <w:t xml:space="preserve"> </w:t>
      </w:r>
      <w:r>
        <w:rPr>
          <w:rFonts w:cs="Arial"/>
        </w:rPr>
        <w:t>3</w:t>
      </w:r>
      <w:r>
        <w:rPr>
          <w:rFonts w:cs="Arial"/>
          <w:spacing w:val="-4"/>
        </w:rPr>
        <w:t xml:space="preserve"> </w:t>
      </w:r>
      <w:r>
        <w:rPr>
          <w:rFonts w:cs="Arial"/>
        </w:rPr>
        <w:t>aufgeführten Standards verstößt, behält sich der Auftraggeber das Recht vor, den mit diesem Bieter geschlossenen Vertrag – gegebenenfalls auch außerordentlich – zu kündigen.</w:t>
      </w:r>
    </w:p>
    <w:p>
      <w:pPr>
        <w:pStyle w:val="Textkrper"/>
        <w:spacing w:after="0" w:line="276" w:lineRule="auto"/>
        <w:contextualSpacing/>
        <w:jc w:val="both"/>
        <w:rPr>
          <w:rFonts w:cs="Arial"/>
        </w:rPr>
      </w:pPr>
    </w:p>
    <w:p>
      <w:pPr>
        <w:pStyle w:val="Textkrper"/>
        <w:spacing w:after="0" w:line="276" w:lineRule="auto"/>
        <w:ind w:right="111"/>
        <w:contextualSpacing/>
        <w:jc w:val="both"/>
        <w:rPr>
          <w:rFonts w:cs="Arial"/>
        </w:rPr>
      </w:pPr>
      <w:r>
        <w:rPr>
          <w:rFonts w:cs="Arial"/>
        </w:rPr>
        <w:t>Unter bestimmten Voraussetzungen sind Vereinbarungen zwischen Unternehmen bzw. die Bildung</w:t>
      </w:r>
      <w:r>
        <w:rPr>
          <w:rFonts w:cs="Arial"/>
          <w:spacing w:val="-6"/>
        </w:rPr>
        <w:t xml:space="preserve"> </w:t>
      </w:r>
      <w:r>
        <w:rPr>
          <w:rFonts w:cs="Arial"/>
        </w:rPr>
        <w:t>von</w:t>
      </w:r>
      <w:r>
        <w:rPr>
          <w:rFonts w:cs="Arial"/>
          <w:spacing w:val="-6"/>
        </w:rPr>
        <w:t xml:space="preserve"> </w:t>
      </w:r>
      <w:r>
        <w:rPr>
          <w:rFonts w:cs="Arial"/>
        </w:rPr>
        <w:t>Mittelstandskartellen</w:t>
      </w:r>
      <w:r>
        <w:rPr>
          <w:rFonts w:cs="Arial"/>
          <w:spacing w:val="-6"/>
        </w:rPr>
        <w:t xml:space="preserve"> </w:t>
      </w:r>
      <w:r>
        <w:rPr>
          <w:rFonts w:cs="Arial"/>
        </w:rPr>
        <w:t>von</w:t>
      </w:r>
      <w:r>
        <w:rPr>
          <w:rFonts w:cs="Arial"/>
          <w:spacing w:val="-6"/>
        </w:rPr>
        <w:t xml:space="preserve"> </w:t>
      </w:r>
      <w:r>
        <w:rPr>
          <w:rFonts w:cs="Arial"/>
        </w:rPr>
        <w:t>§</w:t>
      </w:r>
      <w:r>
        <w:rPr>
          <w:rFonts w:cs="Arial"/>
          <w:spacing w:val="-6"/>
        </w:rPr>
        <w:t xml:space="preserve"> </w:t>
      </w:r>
      <w:r>
        <w:rPr>
          <w:rFonts w:cs="Arial"/>
        </w:rPr>
        <w:t>1</w:t>
      </w:r>
      <w:r>
        <w:rPr>
          <w:rFonts w:cs="Arial"/>
          <w:spacing w:val="-6"/>
        </w:rPr>
        <w:t xml:space="preserve"> </w:t>
      </w:r>
      <w:r>
        <w:rPr>
          <w:rFonts w:cs="Arial"/>
        </w:rPr>
        <w:t>des</w:t>
      </w:r>
      <w:r>
        <w:rPr>
          <w:rFonts w:cs="Arial"/>
          <w:spacing w:val="-6"/>
        </w:rPr>
        <w:t xml:space="preserve"> </w:t>
      </w:r>
      <w:r>
        <w:rPr>
          <w:rFonts w:cs="Arial"/>
        </w:rPr>
        <w:t>Gesetzes</w:t>
      </w:r>
      <w:r>
        <w:rPr>
          <w:rFonts w:cs="Arial"/>
          <w:spacing w:val="-6"/>
        </w:rPr>
        <w:t xml:space="preserve"> </w:t>
      </w:r>
      <w:r>
        <w:rPr>
          <w:rFonts w:cs="Arial"/>
        </w:rPr>
        <w:t>gegen</w:t>
      </w:r>
      <w:r>
        <w:rPr>
          <w:rFonts w:cs="Arial"/>
          <w:spacing w:val="-6"/>
        </w:rPr>
        <w:t xml:space="preserve"> </w:t>
      </w:r>
      <w:r>
        <w:rPr>
          <w:rFonts w:cs="Arial"/>
        </w:rPr>
        <w:t xml:space="preserve">Wettbewerbsbeschränkungen (GWB) freigestellt. Die Voraussetzungen können in §§ 2, 3 GWB nachgelesen werden. </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Pr>
        <w:spacing w:line="276" w:lineRule="auto"/>
        <w:ind w:right="-1"/>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43" w:name="_Toc196302808"/>
      <w:r>
        <w:rPr>
          <w:rFonts w:cs="Arial"/>
          <w:szCs w:val="22"/>
        </w:rPr>
        <w:t>A.1.7</w:t>
      </w:r>
      <w:r>
        <w:rPr>
          <w:rFonts w:cs="Arial"/>
          <w:szCs w:val="22"/>
        </w:rPr>
        <w:tab/>
        <w:t>Nebenangebote und mehrere Hauptangebote</w:t>
      </w:r>
      <w:bookmarkEnd w:id="43"/>
      <w:r>
        <w:rPr>
          <w:rFonts w:cs="Arial"/>
          <w:szCs w:val="22"/>
        </w:rPr>
        <w:t xml:space="preserve"> </w:t>
      </w:r>
    </w:p>
    <w:p>
      <w:pPr>
        <w:spacing w:line="276" w:lineRule="auto"/>
        <w:contextualSpacing/>
        <w:jc w:val="both"/>
        <w:rPr>
          <w:rFonts w:cs="Arial"/>
        </w:rPr>
      </w:pPr>
    </w:p>
    <w:p>
      <w:pPr>
        <w:spacing w:line="276" w:lineRule="auto"/>
        <w:ind w:right="-1"/>
        <w:contextualSpacing/>
        <w:jc w:val="both"/>
        <w:rPr>
          <w:rFonts w:cs="Arial"/>
        </w:rPr>
      </w:pPr>
      <w:r>
        <w:rPr>
          <w:rFonts w:cs="Arial"/>
        </w:rPr>
        <w:t>Die Abgabe eines Alternativ-, Änderungs- oder Ergänzungsangebotes ist nicht zulässig.</w:t>
      </w:r>
      <w:r>
        <w:rPr>
          <w:rFonts w:cs="Arial"/>
        </w:rPr>
        <w:br/>
        <w:t>Gleichfalls ist die Abgabe mehrere Hauptangebote ausgeschlossen.</w:t>
      </w: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44" w:name="_Toc196302809"/>
      <w:r>
        <w:rPr>
          <w:rFonts w:cs="Arial"/>
          <w:szCs w:val="22"/>
        </w:rPr>
        <w:lastRenderedPageBreak/>
        <w:t>A.1.8</w:t>
      </w:r>
      <w:r>
        <w:rPr>
          <w:rFonts w:cs="Arial"/>
          <w:szCs w:val="22"/>
        </w:rPr>
        <w:tab/>
        <w:t>Kalkulation und Angaben</w:t>
      </w:r>
      <w:bookmarkEnd w:id="44"/>
    </w:p>
    <w:p>
      <w:pPr>
        <w:pStyle w:val="Listenabsatz"/>
        <w:spacing w:line="276" w:lineRule="auto"/>
        <w:ind w:left="0" w:right="-1"/>
        <w:contextualSpacing/>
        <w:jc w:val="both"/>
        <w:rPr>
          <w:rFonts w:cs="Arial"/>
        </w:rPr>
      </w:pPr>
    </w:p>
    <w:p>
      <w:pPr>
        <w:pStyle w:val="KeinLeerraum"/>
        <w:spacing w:line="276" w:lineRule="auto"/>
        <w:contextualSpacing/>
        <w:jc w:val="both"/>
        <w:rPr>
          <w:rFonts w:ascii="Arial" w:hAnsi="Arial" w:cs="Arial"/>
        </w:rPr>
      </w:pPr>
      <w:r>
        <w:rPr>
          <w:rFonts w:ascii="Arial" w:hAnsi="Arial" w:cs="Arial"/>
        </w:rPr>
        <w:t>Mit den Angaben der Gesamtpreise in Angebotsteil II muss der Angebotspreis rechnerisch nachvollzieh</w:t>
      </w:r>
      <w:r>
        <w:rPr>
          <w:rFonts w:ascii="Arial" w:hAnsi="Arial" w:cs="Arial"/>
        </w:rPr>
        <w:softHyphen/>
        <w:t>bar sein. Die Kalkulation dient unter anderem zur Überprüfung, ob der Angebotspreis im offenbaren Missverhältnis zur Leistung steht oder in sonstiger Weise als ggf. unangemessen eingeordnet werden kann. Die Angaben der Kalkulation werden vertraulich behandelt. Der Auftraggeber behält sich vor, bei Unklarheiten im zulässigen rechtlichen Rahmen insbes. Erläuterungen zu fordern.</w:t>
      </w:r>
    </w:p>
    <w:p>
      <w:pPr>
        <w:spacing w:line="276" w:lineRule="auto"/>
        <w:contextualSpacing/>
        <w:jc w:val="both"/>
        <w:rPr>
          <w:rFonts w:cs="Arial"/>
        </w:rPr>
      </w:pPr>
    </w:p>
    <w:p>
      <w:pPr>
        <w:spacing w:line="276" w:lineRule="auto"/>
        <w:contextualSpacing/>
        <w:jc w:val="both"/>
        <w:rPr>
          <w:rFonts w:cs="Arial"/>
        </w:rPr>
      </w:pPr>
    </w:p>
    <w:p>
      <w:pPr>
        <w:pStyle w:val="berschrift3"/>
        <w:spacing w:line="276" w:lineRule="auto"/>
        <w:contextualSpacing/>
        <w:jc w:val="both"/>
        <w:rPr>
          <w:rFonts w:cs="Arial"/>
        </w:rPr>
      </w:pPr>
      <w:bookmarkStart w:id="45" w:name="_Toc196302810"/>
      <w:r>
        <w:rPr>
          <w:rFonts w:cs="Arial"/>
        </w:rPr>
        <w:t>A.1.9</w:t>
      </w:r>
      <w:r>
        <w:rPr>
          <w:rFonts w:cs="Arial"/>
        </w:rPr>
        <w:tab/>
        <w:t>Bietergemeinschaften</w:t>
      </w:r>
      <w:bookmarkEnd w:id="45"/>
    </w:p>
    <w:p>
      <w:pPr>
        <w:spacing w:line="276" w:lineRule="auto"/>
        <w:contextualSpacing/>
        <w:jc w:val="both"/>
        <w:rPr>
          <w:rFonts w:cs="Arial"/>
        </w:rPr>
      </w:pPr>
    </w:p>
    <w:p>
      <w:pPr>
        <w:spacing w:line="276" w:lineRule="auto"/>
        <w:ind w:right="-1"/>
        <w:contextualSpacing/>
        <w:jc w:val="both"/>
        <w:rPr>
          <w:rFonts w:cs="Arial"/>
        </w:rPr>
      </w:pPr>
      <w:r>
        <w:rPr>
          <w:rFonts w:cs="Arial"/>
        </w:rPr>
        <w:t xml:space="preserve">Bietergemeinschaften sind </w:t>
      </w:r>
      <w:r>
        <w:rPr>
          <w:rFonts w:cs="Arial"/>
          <w:u w:val="single"/>
        </w:rPr>
        <w:t xml:space="preserve">nicht </w:t>
      </w:r>
      <w:r>
        <w:rPr>
          <w:rFonts w:cs="Arial"/>
        </w:rPr>
        <w:t>zugelassen.</w:t>
      </w:r>
    </w:p>
    <w:p>
      <w:pPr>
        <w:spacing w:line="276" w:lineRule="auto"/>
        <w:ind w:right="-1"/>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46" w:name="_Toc196302811"/>
      <w:r>
        <w:rPr>
          <w:rFonts w:cs="Arial"/>
          <w:szCs w:val="22"/>
        </w:rPr>
        <w:t>A.1.10</w:t>
      </w:r>
      <w:r>
        <w:rPr>
          <w:rFonts w:cs="Arial"/>
          <w:szCs w:val="22"/>
        </w:rPr>
        <w:tab/>
        <w:t>Unterbeauftragung</w:t>
      </w:r>
      <w:bookmarkEnd w:id="46"/>
    </w:p>
    <w:p>
      <w:pPr>
        <w:spacing w:line="276" w:lineRule="auto"/>
        <w:contextualSpacing/>
        <w:jc w:val="both"/>
        <w:rPr>
          <w:rFonts w:cs="Arial"/>
        </w:rPr>
      </w:pPr>
    </w:p>
    <w:p>
      <w:pPr>
        <w:spacing w:line="276" w:lineRule="auto"/>
        <w:contextualSpacing/>
        <w:jc w:val="both"/>
      </w:pPr>
      <w:r>
        <w:t xml:space="preserve">Ein Bieter darf sich zur Leistungserbringung eines Unterauftragnehmers bedienen. Beabsichtigt der Bieter, Teile von Leistungen durch Unterauftragnehmer (auch Freiberufler) ausführen zu lassen, so hat er die beabsichtigte Erfüllung der entsprechenden Leistung durch einen Unterauftragnehmer bereits bei Angebotsabgabe anzuzeigen. </w:t>
      </w:r>
    </w:p>
    <w:p>
      <w:pPr>
        <w:spacing w:line="276" w:lineRule="auto"/>
        <w:contextualSpacing/>
        <w:jc w:val="both"/>
      </w:pPr>
      <w:r>
        <w:t xml:space="preserve">Der Bieter muss die zur Leistungserbringung vorgesehenen Unterauftragnehmer für die entsprechende Leistung sowie den vorgesehenen Umfang erst nach Aufforderung durch die Kontaktstelle mit Namen und Anschrift benennen. Zur Beschleunigung des weiteren Verfahrens sollten diese Angaben möglichst bereits mit dem Angebot eingereicht werden. </w:t>
      </w:r>
    </w:p>
    <w:p>
      <w:pPr>
        <w:spacing w:line="276" w:lineRule="auto"/>
        <w:contextualSpacing/>
        <w:jc w:val="both"/>
      </w:pPr>
    </w:p>
    <w:p>
      <w:pPr>
        <w:spacing w:line="276" w:lineRule="auto"/>
        <w:contextualSpacing/>
        <w:jc w:val="both"/>
      </w:pPr>
      <w:r>
        <w:t xml:space="preserve">Der Bieter stellt sicher, dass der Einsatz eines Unterauftragnehmers mit der vertragsgemäßen Ausführung der Leistung vereinbart werden kann. Weiterhin ist nachzuweisen, dass der Bieter über die Ressourcen der benannten Unterauftragnehmer hinsichtlich des Umfangs des geplanten Einsatzes tatsächlich verfügen kann. </w:t>
      </w:r>
    </w:p>
    <w:p>
      <w:pPr>
        <w:spacing w:line="276" w:lineRule="auto"/>
        <w:contextualSpacing/>
        <w:jc w:val="both"/>
      </w:pPr>
      <w:r>
        <w:t xml:space="preserve">In den Bereichen, in denen ein Unterauftragnehmer zum Einsatz kommen soll, muss vom Bieter die technische Leistungsfähigkeit des Unterauftragnehmers nachgewiesen werden. </w:t>
      </w:r>
    </w:p>
    <w:p>
      <w:pPr>
        <w:spacing w:line="276" w:lineRule="auto"/>
        <w:contextualSpacing/>
        <w:jc w:val="both"/>
      </w:pPr>
    </w:p>
    <w:p>
      <w:pPr>
        <w:spacing w:line="276" w:lineRule="auto"/>
        <w:contextualSpacing/>
        <w:jc w:val="both"/>
      </w:pPr>
      <w:r>
        <w:t>Der Auftragnehmer ist verpflichtet, bei der Übertragung eines Unterauftrags</w:t>
      </w:r>
    </w:p>
    <w:p>
      <w:pPr>
        <w:pStyle w:val="Listenabsatz"/>
        <w:numPr>
          <w:ilvl w:val="0"/>
          <w:numId w:val="20"/>
        </w:numPr>
        <w:spacing w:line="276" w:lineRule="auto"/>
        <w:contextualSpacing/>
        <w:jc w:val="both"/>
        <w:rPr>
          <w:rFonts w:cs="Arial"/>
        </w:rPr>
      </w:pPr>
      <w:r>
        <w:t>nach wettbewerbsrechtlichen Gesichtspunkten zu verfahren, insbesondere unter Beachtung des § 97 Abs. 4 GWB,</w:t>
      </w:r>
    </w:p>
    <w:p>
      <w:pPr>
        <w:pStyle w:val="Listenabsatz"/>
        <w:numPr>
          <w:ilvl w:val="0"/>
          <w:numId w:val="20"/>
        </w:numPr>
        <w:spacing w:line="276" w:lineRule="auto"/>
        <w:contextualSpacing/>
        <w:jc w:val="both"/>
        <w:rPr>
          <w:rFonts w:cs="Arial"/>
        </w:rPr>
      </w:pPr>
      <w:r>
        <w:t>dem Unterauftragnehmer auf Verlangen den Auftraggeber zu benennen,</w:t>
      </w:r>
    </w:p>
    <w:p>
      <w:pPr>
        <w:pStyle w:val="Listenabsatz"/>
        <w:numPr>
          <w:ilvl w:val="0"/>
          <w:numId w:val="20"/>
        </w:numPr>
        <w:spacing w:line="276" w:lineRule="auto"/>
        <w:contextualSpacing/>
        <w:jc w:val="both"/>
        <w:rPr>
          <w:rFonts w:cs="Arial"/>
        </w:rPr>
      </w:pPr>
      <w:r>
        <w:t xml:space="preserve">dem Unterauftragnehmer insgesamt keine ungünstigeren Bedingungen, insbesondere hinsichtlich der Zahlungsweise und Sicherheitsleistungen, zu stellen als zwischen ihm und dem Auftraggeber vereinbart sind. </w:t>
      </w:r>
    </w:p>
    <w:p>
      <w:pPr>
        <w:spacing w:line="276" w:lineRule="auto"/>
        <w:contextualSpacing/>
        <w:jc w:val="both"/>
      </w:pPr>
    </w:p>
    <w:p>
      <w:pPr>
        <w:spacing w:line="276" w:lineRule="auto"/>
        <w:contextualSpacing/>
        <w:jc w:val="both"/>
      </w:pPr>
      <w:r>
        <w:t xml:space="preserve">Bei der Einholung von Angeboten für Unteraufträge sind regelmäßig kleine und mittlere Unternehmen angemessen zu beteiligen. Der Auftragnehmer bemüht sich ferner, Unteraufträge an kleine und mittlere Unternehmen in dem Umfang zu erteilen, wie er es mit der vertragsgemäßen Ausführung der Leistung vereinbaren kann. </w:t>
      </w:r>
    </w:p>
    <w:p>
      <w:pPr>
        <w:spacing w:line="276" w:lineRule="auto"/>
        <w:contextualSpacing/>
        <w:jc w:val="both"/>
      </w:pPr>
    </w:p>
    <w:p>
      <w:pPr>
        <w:spacing w:line="276" w:lineRule="auto"/>
        <w:contextualSpacing/>
        <w:jc w:val="both"/>
        <w:rPr>
          <w:rFonts w:cs="Arial"/>
        </w:rPr>
      </w:pPr>
      <w:r>
        <w:lastRenderedPageBreak/>
        <w:t>Für sämtliche erbrachten Leistungen – insbesondere auch für die von Unterauftragnehmern ausgeführten – trägt der Auftragnehmer die Verantwortung.</w:t>
      </w:r>
    </w:p>
    <w:p>
      <w:pPr>
        <w:spacing w:line="276" w:lineRule="auto"/>
        <w:contextualSpacing/>
        <w:jc w:val="both"/>
        <w:rPr>
          <w:rFonts w:cs="Arial"/>
        </w:rPr>
      </w:pPr>
    </w:p>
    <w:p>
      <w:pPr>
        <w:pStyle w:val="berschrift3"/>
        <w:spacing w:line="276" w:lineRule="auto"/>
        <w:contextualSpacing/>
        <w:jc w:val="both"/>
        <w:rPr>
          <w:rFonts w:cs="Arial"/>
          <w:szCs w:val="22"/>
        </w:rPr>
      </w:pPr>
      <w:bookmarkStart w:id="47" w:name="_Toc196302812"/>
      <w:r>
        <w:rPr>
          <w:rFonts w:cs="Arial"/>
          <w:szCs w:val="22"/>
        </w:rPr>
        <w:t>A.1.11</w:t>
      </w:r>
      <w:r>
        <w:rPr>
          <w:rFonts w:cs="Arial"/>
          <w:szCs w:val="22"/>
        </w:rPr>
        <w:tab/>
        <w:t>Vertragssprache</w:t>
      </w:r>
      <w:bookmarkEnd w:id="47"/>
    </w:p>
    <w:p>
      <w:pPr>
        <w:spacing w:line="276" w:lineRule="auto"/>
        <w:contextualSpacing/>
        <w:jc w:val="both"/>
        <w:rPr>
          <w:rFonts w:cs="Arial"/>
        </w:rPr>
      </w:pPr>
    </w:p>
    <w:p>
      <w:pPr>
        <w:pStyle w:val="Default"/>
        <w:spacing w:line="276" w:lineRule="auto"/>
        <w:contextualSpacing/>
        <w:jc w:val="both"/>
        <w:rPr>
          <w:rFonts w:eastAsia="Times"/>
          <w:color w:val="auto"/>
          <w:sz w:val="22"/>
          <w:szCs w:val="22"/>
        </w:rPr>
      </w:pPr>
      <w:r>
        <w:rPr>
          <w:rFonts w:eastAsia="Times"/>
          <w:color w:val="auto"/>
          <w:sz w:val="22"/>
          <w:szCs w:val="22"/>
        </w:rPr>
        <w:t>Das Angebot ist in deutscher Sprache abzufassen. Die Korrespondenz im Rahmen des Angebotsverfahrens über den Vergabemarktplatz muss gleichfalls in deutscher Sprache erfolgen. Gleiches gilt für die elektronische Kommunikation im Zusammenhang mit der Vertragsdurchführung (im Falle eines Zuschlags).</w:t>
      </w:r>
    </w:p>
    <w:p>
      <w:pPr>
        <w:spacing w:line="276" w:lineRule="auto"/>
        <w:ind w:right="-1"/>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48" w:name="_Toc196302813"/>
      <w:r>
        <w:rPr>
          <w:rFonts w:cs="Arial"/>
          <w:szCs w:val="22"/>
        </w:rPr>
        <w:t>A.1.12</w:t>
      </w:r>
      <w:r>
        <w:rPr>
          <w:rFonts w:cs="Arial"/>
          <w:szCs w:val="22"/>
        </w:rPr>
        <w:tab/>
        <w:t>Unklarheiten in den Vergabeunterlagen</w:t>
      </w:r>
      <w:bookmarkEnd w:id="48"/>
    </w:p>
    <w:p>
      <w:pPr>
        <w:spacing w:line="276" w:lineRule="auto"/>
        <w:contextualSpacing/>
        <w:jc w:val="both"/>
        <w:rPr>
          <w:rFonts w:cs="Arial"/>
        </w:rPr>
      </w:pPr>
    </w:p>
    <w:p>
      <w:pPr>
        <w:tabs>
          <w:tab w:val="left" w:pos="2835"/>
        </w:tabs>
        <w:spacing w:line="276" w:lineRule="auto"/>
        <w:ind w:right="-1"/>
        <w:contextualSpacing/>
        <w:jc w:val="both"/>
        <w:rPr>
          <w:rFonts w:cs="Arial"/>
        </w:rPr>
      </w:pPr>
      <w:r>
        <w:rPr>
          <w:rFonts w:cs="Arial"/>
        </w:rPr>
        <w:t xml:space="preserve">Enthalten die Ausschreibungsunterlagen nach Auffassung der Bietenden Unklarheiten, die die Entgeltermittlung und den Leistungsumfang beeinflussen können, so haben die Bietenden die Vergabestelle der Jobcenter Wuppertal AöR unverzüglich über den Vergabemarktplatz Rheinland zu informieren. Eventuelle Fragen zum Angebot sind spätestens bis zum </w:t>
      </w:r>
    </w:p>
    <w:p>
      <w:pPr>
        <w:tabs>
          <w:tab w:val="left" w:pos="2835"/>
        </w:tabs>
        <w:spacing w:line="276" w:lineRule="auto"/>
        <w:ind w:right="-1"/>
        <w:contextualSpacing/>
        <w:jc w:val="both"/>
        <w:rPr>
          <w:rFonts w:cs="Arial"/>
          <w:i/>
        </w:rPr>
      </w:pPr>
      <w:r>
        <w:rPr>
          <w:rFonts w:cs="Arial"/>
        </w:rPr>
        <w:t xml:space="preserve">25.02.2026, also rechtzeitig </w:t>
      </w:r>
      <w:r>
        <w:rPr>
          <w:rFonts w:cs="Arial"/>
          <w:u w:val="single"/>
        </w:rPr>
        <w:t>vor Ablauf der Angebotsfrist</w:t>
      </w:r>
      <w:r>
        <w:rPr>
          <w:rFonts w:cs="Arial"/>
        </w:rPr>
        <w:t>, über die Vergabeplattform zu stellen. Eventuell notwendige, ergänzende Informationen zum Ausschreibungsverfahren – und somit zur Kalkulation und Konzeption der Angebote – werden allen Bietenden über den Vergabemarktplatz bis zum 27.03.2026 bekannt gegeben (spätestens bis zwei Tage vor Ablauf der Angebotsfrist).</w:t>
      </w:r>
    </w:p>
    <w:p>
      <w:pPr>
        <w:tabs>
          <w:tab w:val="left" w:pos="2835"/>
        </w:tabs>
        <w:spacing w:line="276" w:lineRule="auto"/>
        <w:ind w:right="-1"/>
        <w:contextualSpacing/>
        <w:jc w:val="both"/>
        <w:rPr>
          <w:rFonts w:cs="Arial"/>
        </w:rPr>
      </w:pPr>
    </w:p>
    <w:p>
      <w:pPr>
        <w:pStyle w:val="berschrift3"/>
        <w:spacing w:line="276" w:lineRule="auto"/>
        <w:contextualSpacing/>
        <w:jc w:val="both"/>
        <w:rPr>
          <w:rFonts w:cs="Arial"/>
          <w:szCs w:val="22"/>
        </w:rPr>
      </w:pPr>
      <w:bookmarkStart w:id="49" w:name="_Toc196302814"/>
      <w:r>
        <w:rPr>
          <w:rFonts w:cs="Arial"/>
          <w:szCs w:val="22"/>
        </w:rPr>
        <w:t>A.1.13</w:t>
      </w:r>
      <w:r>
        <w:rPr>
          <w:rFonts w:cs="Arial"/>
          <w:szCs w:val="22"/>
        </w:rPr>
        <w:tab/>
        <w:t>Verbindlichkeit der Angebote</w:t>
      </w:r>
      <w:bookmarkEnd w:id="49"/>
      <w:r>
        <w:rPr>
          <w:rFonts w:cs="Arial"/>
          <w:szCs w:val="22"/>
        </w:rPr>
        <w:t xml:space="preserve"> </w:t>
      </w:r>
    </w:p>
    <w:p>
      <w:pPr>
        <w:spacing w:line="276" w:lineRule="auto"/>
        <w:contextualSpacing/>
        <w:jc w:val="both"/>
        <w:rPr>
          <w:rFonts w:cs="Arial"/>
        </w:rPr>
      </w:pPr>
    </w:p>
    <w:p>
      <w:pPr>
        <w:spacing w:line="276" w:lineRule="auto"/>
        <w:ind w:right="-1"/>
        <w:contextualSpacing/>
        <w:jc w:val="both"/>
        <w:rPr>
          <w:rFonts w:cs="Arial"/>
        </w:rPr>
      </w:pPr>
      <w:r>
        <w:rPr>
          <w:rFonts w:cs="Arial"/>
        </w:rPr>
        <w:t>Die Angebote sind durch die Bietenden verbindlich abzugeben. Wird ein Angebot mit dem Zusatz versehen, dass der Abschluss des Vertrags z.B. noch der Zustimmung des Vorstands oder sonstiger Gremien der Bietenden bedarf, fehlt es an der Verbindlichkeit des Angebots. Damit ist das Angebot zwingend von der Wertung auszuschließen.</w:t>
      </w:r>
    </w:p>
    <w:p>
      <w:pPr>
        <w:spacing w:line="276" w:lineRule="auto"/>
        <w:ind w:right="-1"/>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50" w:name="_Toc196302815"/>
      <w:r>
        <w:rPr>
          <w:rFonts w:cs="Arial"/>
          <w:szCs w:val="22"/>
        </w:rPr>
        <w:t>A.1.14</w:t>
      </w:r>
      <w:r>
        <w:rPr>
          <w:rFonts w:cs="Arial"/>
          <w:szCs w:val="22"/>
        </w:rPr>
        <w:tab/>
        <w:t>Kennzeichnung von Geheimnissen</w:t>
      </w:r>
      <w:bookmarkEnd w:id="50"/>
      <w:r>
        <w:rPr>
          <w:rFonts w:cs="Arial"/>
          <w:szCs w:val="22"/>
        </w:rPr>
        <w:t xml:space="preserve"> </w:t>
      </w:r>
    </w:p>
    <w:p>
      <w:pPr>
        <w:spacing w:line="276" w:lineRule="auto"/>
        <w:contextualSpacing/>
        <w:jc w:val="both"/>
        <w:rPr>
          <w:rFonts w:cs="Arial"/>
        </w:rPr>
      </w:pPr>
    </w:p>
    <w:p>
      <w:pPr>
        <w:pStyle w:val="KeinLeerraum"/>
        <w:spacing w:line="276" w:lineRule="auto"/>
        <w:contextualSpacing/>
        <w:jc w:val="both"/>
        <w:rPr>
          <w:rFonts w:ascii="Arial" w:hAnsi="Arial" w:cs="Arial"/>
        </w:rPr>
      </w:pPr>
      <w:r>
        <w:rPr>
          <w:rFonts w:ascii="Arial" w:hAnsi="Arial" w:cs="Arial"/>
        </w:rPr>
        <w:t xml:space="preserve">Der Bieter bzw. die Bieterin wird aufgefordert, die Teile seines bzw. ihres Angebotes, die ein Betriebs- oder Geschäftsgeheimnis beinhalten, deutlich zu kennzeichnen. Geschieht dies nicht, kann die Vergabekammer im Falle eines Nachprüfverfahrens ggf. von einer Zustimmung auf Einsicht ausgehen (§ 165 Abs. 3 GWB). Die Vergabestelle ist bei der Einleitung eines Nachprüfverfahrens dazu verpflichtet, sämtliche Vergabeakten der Vergabekammer sofort zur Verfügung zu stellen (§ 163 Abs. 2 GWB). </w:t>
      </w:r>
    </w:p>
    <w:p>
      <w:pPr>
        <w:spacing w:line="276" w:lineRule="auto"/>
        <w:ind w:right="-1"/>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51" w:name="_Toc354043904"/>
      <w:bookmarkStart w:id="52" w:name="_Toc196302816"/>
      <w:r>
        <w:rPr>
          <w:rFonts w:cs="Arial"/>
          <w:szCs w:val="22"/>
        </w:rPr>
        <w:t>A.1.15</w:t>
      </w:r>
      <w:r>
        <w:rPr>
          <w:rFonts w:cs="Arial"/>
          <w:szCs w:val="22"/>
        </w:rPr>
        <w:tab/>
        <w:t>Rechtsbehelfsbelehrung</w:t>
      </w:r>
      <w:bookmarkEnd w:id="51"/>
      <w:bookmarkEnd w:id="52"/>
      <w:r>
        <w:rPr>
          <w:rFonts w:cs="Arial"/>
          <w:szCs w:val="22"/>
        </w:rPr>
        <w:t xml:space="preserve"> </w:t>
      </w:r>
    </w:p>
    <w:p>
      <w:pPr>
        <w:spacing w:line="276" w:lineRule="auto"/>
        <w:contextualSpacing/>
        <w:jc w:val="both"/>
        <w:rPr>
          <w:rFonts w:cs="Arial"/>
        </w:rPr>
      </w:pPr>
    </w:p>
    <w:p>
      <w:pPr>
        <w:spacing w:line="276" w:lineRule="auto"/>
        <w:contextualSpacing/>
        <w:jc w:val="both"/>
        <w:rPr>
          <w:rFonts w:cs="Arial"/>
        </w:rPr>
      </w:pPr>
      <w:r>
        <w:rPr>
          <w:rFonts w:cs="Arial"/>
        </w:rPr>
        <w:t xml:space="preserve">Bei behaupteten oder tatsächlichen Verstößen gegen die Vergabevorschriften ist gegenüber dem Jobcenter eine vorausgehende, äußerst zeitnahe förmliche Beanstandung (Rüge) zwingend erforderlich. Sodann kann – nach ggf. abschlägiger Entscheidung des Jobcenters – </w:t>
      </w:r>
      <w:r>
        <w:rPr>
          <w:rFonts w:cs="Arial"/>
        </w:rPr>
        <w:lastRenderedPageBreak/>
        <w:t xml:space="preserve">ausschließlich auf individuellen Antrag des Interessenten bzw. Bietenden hin die Einleitung eines Nachprüfungsverfahrens initiiert werden (gem. §§ 155 ff., 160 ff. GWB). </w:t>
      </w:r>
    </w:p>
    <w:p>
      <w:pPr>
        <w:rPr>
          <w:rFonts w:cs="Arial"/>
        </w:rPr>
      </w:pPr>
    </w:p>
    <w:p>
      <w:pPr>
        <w:rPr>
          <w:rFonts w:cs="Arial"/>
        </w:rPr>
      </w:pPr>
      <w:r>
        <w:rPr>
          <w:rFonts w:cs="Arial"/>
        </w:rPr>
        <w:t xml:space="preserve">Der begründete Antrag ist unverzüglich schriftlich bei der </w:t>
      </w:r>
    </w:p>
    <w:p>
      <w:pPr>
        <w:pStyle w:val="KeinLeerraum"/>
        <w:spacing w:line="276" w:lineRule="auto"/>
        <w:contextualSpacing/>
        <w:jc w:val="both"/>
        <w:rPr>
          <w:rFonts w:ascii="Arial" w:hAnsi="Arial" w:cs="Arial"/>
        </w:rPr>
      </w:pPr>
    </w:p>
    <w:p>
      <w:pPr>
        <w:spacing w:line="276" w:lineRule="auto"/>
        <w:contextualSpacing/>
        <w:jc w:val="both"/>
        <w:rPr>
          <w:rFonts w:cs="Arial"/>
        </w:rPr>
      </w:pPr>
      <w:r>
        <w:rPr>
          <w:rFonts w:cs="Arial"/>
        </w:rPr>
        <w:t xml:space="preserve">Vergabekammer (§ 156 GWB): </w:t>
      </w:r>
    </w:p>
    <w:p>
      <w:pPr>
        <w:spacing w:line="276" w:lineRule="auto"/>
        <w:contextualSpacing/>
        <w:jc w:val="both"/>
        <w:rPr>
          <w:rFonts w:cs="Arial"/>
        </w:rPr>
      </w:pPr>
      <w:r>
        <w:rPr>
          <w:rFonts w:cs="Arial"/>
        </w:rPr>
        <w:t>Vergabekammer Rheinland</w:t>
      </w:r>
    </w:p>
    <w:p>
      <w:pPr>
        <w:spacing w:line="276" w:lineRule="auto"/>
        <w:contextualSpacing/>
        <w:jc w:val="both"/>
        <w:rPr>
          <w:rFonts w:cs="Arial"/>
        </w:rPr>
      </w:pPr>
      <w:r>
        <w:rPr>
          <w:rFonts w:cs="Arial"/>
        </w:rPr>
        <w:t>c/o Bezirksregierung Köln</w:t>
      </w:r>
    </w:p>
    <w:p>
      <w:pPr>
        <w:spacing w:line="276" w:lineRule="auto"/>
        <w:contextualSpacing/>
        <w:jc w:val="both"/>
        <w:rPr>
          <w:rFonts w:cs="Arial"/>
        </w:rPr>
      </w:pPr>
      <w:r>
        <w:rPr>
          <w:rFonts w:cs="Arial"/>
        </w:rPr>
        <w:t>50606 Köln</w:t>
      </w:r>
    </w:p>
    <w:p>
      <w:pPr>
        <w:spacing w:line="276" w:lineRule="auto"/>
        <w:contextualSpacing/>
        <w:jc w:val="both"/>
        <w:rPr>
          <w:rFonts w:cs="Arial"/>
        </w:rPr>
      </w:pPr>
      <w:r>
        <w:rPr>
          <w:rFonts w:cs="Arial"/>
        </w:rPr>
        <w:t>E-Mail: </w:t>
      </w:r>
      <w:hyperlink r:id="rId11" w:history="1">
        <w:r>
          <w:rPr>
            <w:rFonts w:cs="Arial"/>
          </w:rPr>
          <w:t>VKRheinland@bezreg-koeln.nrw.de</w:t>
        </w:r>
      </w:hyperlink>
    </w:p>
    <w:p>
      <w:pPr>
        <w:spacing w:line="276" w:lineRule="auto"/>
        <w:contextualSpacing/>
        <w:jc w:val="both"/>
        <w:rPr>
          <w:rFonts w:cs="Arial"/>
        </w:rPr>
      </w:pPr>
      <w:r>
        <w:rPr>
          <w:rFonts w:cs="Arial"/>
        </w:rPr>
        <w:t>Tel.: +49 221 147-3045 oder -3055 einzureichen.</w:t>
      </w:r>
    </w:p>
    <w:p>
      <w:pPr>
        <w:pStyle w:val="KeinLeerraum"/>
        <w:spacing w:line="276" w:lineRule="auto"/>
        <w:contextualSpacing/>
        <w:jc w:val="both"/>
        <w:rPr>
          <w:rFonts w:ascii="Arial" w:hAnsi="Arial" w:cs="Arial"/>
        </w:rPr>
      </w:pPr>
    </w:p>
    <w:p>
      <w:pPr>
        <w:spacing w:line="276" w:lineRule="auto"/>
        <w:contextualSpacing/>
        <w:jc w:val="both"/>
        <w:rPr>
          <w:rFonts w:cs="Arial"/>
        </w:rPr>
      </w:pPr>
      <w:r>
        <w:rPr>
          <w:rFonts w:cs="Arial"/>
        </w:rPr>
        <w:t>Der Antrag ist gem. § 160 Abs. 3 S. 1 GWB unzulässig, soweit</w:t>
      </w:r>
    </w:p>
    <w:p>
      <w:pPr>
        <w:pStyle w:val="KeinLeerraum"/>
        <w:spacing w:line="276" w:lineRule="auto"/>
        <w:contextualSpacing/>
        <w:jc w:val="both"/>
        <w:rPr>
          <w:rFonts w:ascii="Arial" w:hAnsi="Arial" w:cs="Arial"/>
        </w:rPr>
      </w:pPr>
    </w:p>
    <w:p>
      <w:pPr>
        <w:pStyle w:val="Listenabsatz"/>
        <w:numPr>
          <w:ilvl w:val="0"/>
          <w:numId w:val="15"/>
        </w:numPr>
        <w:spacing w:line="276" w:lineRule="auto"/>
        <w:contextualSpacing/>
        <w:jc w:val="both"/>
        <w:rPr>
          <w:rFonts w:cs="Arial"/>
        </w:rPr>
      </w:pPr>
      <w:r>
        <w:rPr>
          <w:rFonts w:cs="Arial"/>
        </w:rPr>
        <w:t>der Antragsteller bzw. die Antragstellerin den geltend gemachten Verstoß gegen Vergabevorschriften vor Einreichen des Nachprüfungsantrags erkannt und gegenüber der Auftraggeberin nicht innerhalb einer Frist von zehn Kalendertagen gerügt hat; der Ablauf der Frist nach § 134 Absatz 2 bleibt unberührt,</w:t>
      </w:r>
    </w:p>
    <w:p>
      <w:pPr>
        <w:spacing w:line="276" w:lineRule="auto"/>
        <w:contextualSpacing/>
        <w:jc w:val="both"/>
        <w:rPr>
          <w:rFonts w:cs="Arial"/>
        </w:rPr>
      </w:pPr>
    </w:p>
    <w:p>
      <w:pPr>
        <w:pStyle w:val="Listenabsatz"/>
        <w:numPr>
          <w:ilvl w:val="0"/>
          <w:numId w:val="15"/>
        </w:numPr>
        <w:spacing w:line="276" w:lineRule="auto"/>
        <w:contextualSpacing/>
        <w:jc w:val="both"/>
        <w:rPr>
          <w:rFonts w:cs="Arial"/>
        </w:rPr>
      </w:pPr>
      <w:r>
        <w:rPr>
          <w:rFonts w:cs="Arial"/>
        </w:rPr>
        <w:t xml:space="preserve">Verstöße gegen Vergabevorschriften, die aufgrund der Bekanntmachung erkennbar sind, nicht spätestens bis Ablauf der in der Bekanntmachung benannten Frist zur Bewerbung oder zur Angebotsabgabe gegenüber der Auftraggeberin gerügt werden, </w:t>
      </w:r>
    </w:p>
    <w:p>
      <w:pPr>
        <w:spacing w:line="276" w:lineRule="auto"/>
        <w:contextualSpacing/>
        <w:jc w:val="both"/>
        <w:rPr>
          <w:rFonts w:cs="Arial"/>
        </w:rPr>
      </w:pPr>
    </w:p>
    <w:p>
      <w:pPr>
        <w:pStyle w:val="Listenabsatz"/>
        <w:numPr>
          <w:ilvl w:val="0"/>
          <w:numId w:val="15"/>
        </w:numPr>
        <w:spacing w:line="276" w:lineRule="auto"/>
        <w:contextualSpacing/>
        <w:jc w:val="both"/>
        <w:rPr>
          <w:rFonts w:cs="Arial"/>
        </w:rPr>
      </w:pPr>
      <w:r>
        <w:rPr>
          <w:rFonts w:cs="Arial"/>
        </w:rPr>
        <w:t xml:space="preserve">Verstöße gegen Vergabevorschriften, die erst in den Vergabeunterlagen erkennbar sind, nicht spätestens bis zum Ablauf der Frist zur Bewerbung oder zur Angebotsabgabe gegenüber der Auftraggeberin gerügt werden, </w:t>
      </w:r>
    </w:p>
    <w:p>
      <w:pPr>
        <w:spacing w:line="276" w:lineRule="auto"/>
        <w:contextualSpacing/>
        <w:jc w:val="both"/>
        <w:rPr>
          <w:rFonts w:cs="Arial"/>
        </w:rPr>
      </w:pPr>
    </w:p>
    <w:p>
      <w:pPr>
        <w:pStyle w:val="Listenabsatz"/>
        <w:numPr>
          <w:ilvl w:val="0"/>
          <w:numId w:val="15"/>
        </w:numPr>
        <w:spacing w:line="276" w:lineRule="auto"/>
        <w:contextualSpacing/>
        <w:jc w:val="both"/>
        <w:rPr>
          <w:rFonts w:cs="Arial"/>
        </w:rPr>
      </w:pPr>
      <w:r>
        <w:rPr>
          <w:rFonts w:cs="Arial"/>
        </w:rPr>
        <w:t xml:space="preserve">mehr als 15 Kalendertage nach Eingang der Mitteilung der Auftraggeberin, einer Rüge nicht abhelfen zu wollen, vergangen sind. </w:t>
      </w:r>
    </w:p>
    <w:p>
      <w:pPr>
        <w:spacing w:line="276" w:lineRule="auto"/>
        <w:contextualSpacing/>
        <w:jc w:val="both"/>
        <w:rPr>
          <w:rFonts w:cs="Arial"/>
        </w:rPr>
      </w:pPr>
    </w:p>
    <w:p>
      <w:pPr>
        <w:spacing w:line="276" w:lineRule="auto"/>
        <w:contextualSpacing/>
        <w:jc w:val="both"/>
        <w:rPr>
          <w:rFonts w:cs="Arial"/>
        </w:rPr>
      </w:pPr>
      <w:r>
        <w:rPr>
          <w:rFonts w:cs="Arial"/>
        </w:rPr>
        <w:t>Satz 1 gilt nicht bei einem Antrag auf Feststellung der Unwirksamkeit des Vertrags nach § 135 Absatz 1 Nummer 2. § 134 Absatz 1 Satz 2 bleibt unberührt.</w:t>
      </w:r>
    </w:p>
    <w:p>
      <w:pPr>
        <w:spacing w:line="276" w:lineRule="auto"/>
        <w:contextualSpacing/>
        <w:jc w:val="both"/>
        <w:rPr>
          <w:rFonts w:cs="Arial"/>
        </w:rPr>
      </w:pPr>
    </w:p>
    <w:p>
      <w:pPr>
        <w:spacing w:line="276" w:lineRule="auto"/>
        <w:contextualSpacing/>
        <w:jc w:val="both"/>
        <w:rPr>
          <w:rFonts w:cs="Arial"/>
        </w:rPr>
      </w:pPr>
      <w:bookmarkStart w:id="53" w:name="_Toc196302817"/>
    </w:p>
    <w:p>
      <w:pPr>
        <w:spacing w:line="276" w:lineRule="auto"/>
        <w:contextualSpacing/>
        <w:jc w:val="both"/>
      </w:pPr>
      <w:r>
        <w:rPr>
          <w:rFonts w:cs="Arial"/>
          <w:b/>
          <w:sz w:val="24"/>
          <w:szCs w:val="24"/>
        </w:rPr>
        <w:t>A.2</w:t>
      </w:r>
      <w:r>
        <w:rPr>
          <w:rFonts w:cs="Arial"/>
          <w:b/>
          <w:sz w:val="24"/>
          <w:szCs w:val="24"/>
        </w:rPr>
        <w:tab/>
        <w:t>Bewertung der Angebote</w:t>
      </w:r>
      <w:bookmarkEnd w:id="53"/>
      <w:r>
        <w:t xml:space="preserve"> </w:t>
      </w:r>
    </w:p>
    <w:p>
      <w:pPr>
        <w:spacing w:line="276" w:lineRule="auto"/>
        <w:contextualSpacing/>
        <w:jc w:val="both"/>
        <w:rPr>
          <w:rFonts w:cs="Arial"/>
          <w:lang w:eastAsia="de-DE"/>
        </w:rPr>
      </w:pPr>
    </w:p>
    <w:p>
      <w:pPr>
        <w:spacing w:line="276" w:lineRule="auto"/>
        <w:contextualSpacing/>
        <w:jc w:val="both"/>
        <w:rPr>
          <w:rFonts w:cs="Arial"/>
        </w:rPr>
      </w:pPr>
      <w:bookmarkStart w:id="54" w:name="_Toc334168763"/>
      <w:r>
        <w:rPr>
          <w:rFonts w:cs="Arial"/>
        </w:rPr>
        <w:t>Die Bewertung der Angebote erfolgt durch ein Wertungsgr</w:t>
      </w:r>
      <w:bookmarkEnd w:id="54"/>
      <w:r>
        <w:rPr>
          <w:rFonts w:cs="Arial"/>
        </w:rPr>
        <w:t xml:space="preserve">emium. </w:t>
      </w:r>
    </w:p>
    <w:p>
      <w:pPr>
        <w:spacing w:line="276" w:lineRule="auto"/>
        <w:ind w:right="-1"/>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55" w:name="_Toc196302818"/>
      <w:r>
        <w:rPr>
          <w:rFonts w:cs="Arial"/>
          <w:szCs w:val="22"/>
        </w:rPr>
        <w:t>A.2.1</w:t>
      </w:r>
      <w:r>
        <w:rPr>
          <w:rFonts w:cs="Arial"/>
          <w:szCs w:val="22"/>
        </w:rPr>
        <w:tab/>
        <w:t>Wertungsphase 1: Formale und inhaltliche Prüfung der Angebote</w:t>
      </w:r>
      <w:bookmarkEnd w:id="55"/>
      <w:r>
        <w:rPr>
          <w:rFonts w:cs="Arial"/>
          <w:szCs w:val="22"/>
        </w:rPr>
        <w:t xml:space="preserve">  </w:t>
      </w:r>
    </w:p>
    <w:p>
      <w:pPr>
        <w:spacing w:line="276" w:lineRule="auto"/>
        <w:contextualSpacing/>
        <w:jc w:val="both"/>
        <w:rPr>
          <w:rFonts w:cs="Arial"/>
        </w:rPr>
      </w:pPr>
    </w:p>
    <w:p>
      <w:pPr>
        <w:pStyle w:val="Textkrper-Zeileneinzug"/>
        <w:spacing w:line="276" w:lineRule="auto"/>
        <w:ind w:left="0" w:right="-1"/>
        <w:contextualSpacing/>
        <w:rPr>
          <w:rFonts w:cs="Arial"/>
          <w:szCs w:val="22"/>
        </w:rPr>
      </w:pPr>
      <w:r>
        <w:rPr>
          <w:rFonts w:cs="Arial"/>
          <w:szCs w:val="22"/>
        </w:rPr>
        <w:t>In dieser Wertungsphase werden die wegen formeller oder inhaltlicher Mängel auszu</w:t>
      </w:r>
      <w:r>
        <w:rPr>
          <w:rFonts w:cs="Arial"/>
          <w:szCs w:val="22"/>
        </w:rPr>
        <w:softHyphen/>
        <w:t xml:space="preserve">schließenden Angebote ermittelt. </w:t>
      </w:r>
    </w:p>
    <w:p>
      <w:pPr>
        <w:pStyle w:val="Textkrper-Zeileneinzug"/>
        <w:spacing w:line="276" w:lineRule="auto"/>
        <w:ind w:left="0" w:right="-1"/>
        <w:contextualSpacing/>
        <w:rPr>
          <w:rFonts w:cs="Arial"/>
          <w:szCs w:val="22"/>
        </w:rPr>
      </w:pPr>
    </w:p>
    <w:p>
      <w:pPr>
        <w:spacing w:line="276" w:lineRule="auto"/>
        <w:contextualSpacing/>
        <w:jc w:val="both"/>
        <w:rPr>
          <w:rFonts w:cs="Arial"/>
          <w:color w:val="000000" w:themeColor="text1"/>
        </w:rPr>
      </w:pPr>
      <w:bookmarkStart w:id="56" w:name="_Toc334168766"/>
      <w:r>
        <w:rPr>
          <w:rFonts w:cs="Arial"/>
          <w:color w:val="000000" w:themeColor="text1"/>
        </w:rPr>
        <w:t xml:space="preserve">Angebote von Bietenden, die zum Zeitpunkt der Angebotsabgabe nicht alle geforderten Angaben und Erklärungen vollständig enthalten, werden nicht zwingend von der Wertung ausgeschlossen (§ 56 Abs. 2 VgV). Die ausschreibende Stelle behält sich im Einzelfall vor, </w:t>
      </w:r>
      <w:r>
        <w:rPr>
          <w:rFonts w:cs="Arial"/>
          <w:color w:val="000000" w:themeColor="text1"/>
        </w:rPr>
        <w:lastRenderedPageBreak/>
        <w:t>fehlende Angaben und Erklärungen nachzufordern, soweit dies ohne Schädigung des Wettbewerbes möglich ist. Ein Ausschluss von der Wertung erfolgt, wenn durch die vorgelegten Angaben und Erklärungen nicht sichergestellt ist, dass die Leistung vertragsgemäß erfüllt wird.</w:t>
      </w:r>
      <w:bookmarkEnd w:id="56"/>
    </w:p>
    <w:p>
      <w:pPr>
        <w:spacing w:line="276" w:lineRule="auto"/>
        <w:contextualSpacing/>
        <w:jc w:val="both"/>
        <w:rPr>
          <w:rFonts w:cs="Arial"/>
          <w:color w:val="000000" w:themeColor="text1"/>
        </w:rPr>
      </w:pPr>
      <w:bookmarkStart w:id="57" w:name="_Toc334168767"/>
      <w:r>
        <w:rPr>
          <w:rFonts w:cs="Arial"/>
          <w:color w:val="000000" w:themeColor="text1"/>
        </w:rPr>
        <w:t>Die weiteren, sich aus den anwendbaren Rechtsvorschriften ergebenden Ausschlussgründe sind ebenfalls anzuwenden.</w:t>
      </w:r>
      <w:bookmarkEnd w:id="57"/>
    </w:p>
    <w:p>
      <w:pPr>
        <w:spacing w:line="276" w:lineRule="auto"/>
        <w:ind w:right="-1"/>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58" w:name="_Toc196302819"/>
      <w:r>
        <w:rPr>
          <w:rFonts w:cs="Arial"/>
          <w:szCs w:val="22"/>
        </w:rPr>
        <w:t>A.2.2</w:t>
      </w:r>
      <w:r>
        <w:rPr>
          <w:rFonts w:cs="Arial"/>
          <w:szCs w:val="22"/>
        </w:rPr>
        <w:tab/>
        <w:t>Wertungsphase 2: Eignungsprüfung</w:t>
      </w:r>
      <w:bookmarkEnd w:id="58"/>
      <w:r>
        <w:rPr>
          <w:rFonts w:cs="Arial"/>
          <w:szCs w:val="22"/>
        </w:rPr>
        <w:t xml:space="preserve"> </w:t>
      </w:r>
    </w:p>
    <w:p>
      <w:pPr>
        <w:spacing w:line="276" w:lineRule="auto"/>
        <w:contextualSpacing/>
        <w:jc w:val="both"/>
        <w:rPr>
          <w:rFonts w:cs="Arial"/>
        </w:rPr>
      </w:pPr>
    </w:p>
    <w:p>
      <w:pPr>
        <w:spacing w:line="276" w:lineRule="auto"/>
        <w:contextualSpacing/>
        <w:jc w:val="both"/>
        <w:rPr>
          <w:rFonts w:cs="Arial"/>
          <w:color w:val="000000" w:themeColor="text1"/>
        </w:rPr>
      </w:pPr>
      <w:bookmarkStart w:id="59" w:name="_Toc334168778"/>
      <w:r>
        <w:rPr>
          <w:rFonts w:cs="Arial"/>
          <w:color w:val="000000" w:themeColor="text1"/>
        </w:rPr>
        <w:t>Die Beurteilung der Fachkunde, Leistungsfähigkeit (d.h. der Eignung) Bietender, unterliegt einer nachvollziehbaren Ermessensentscheidung der Auftraggeberin. Bietende mit fehlender Eignung dürfen nicht berücksichtigt werden (§ 122 GWB, §§ 42 ff. VgV).f</w:t>
      </w:r>
    </w:p>
    <w:p>
      <w:pPr>
        <w:pStyle w:val="KeinLeerraum"/>
        <w:spacing w:line="276" w:lineRule="auto"/>
        <w:contextualSpacing/>
        <w:jc w:val="both"/>
        <w:rPr>
          <w:rFonts w:ascii="Arial" w:hAnsi="Arial" w:cs="Arial"/>
          <w:color w:val="000000" w:themeColor="text1"/>
        </w:rPr>
      </w:pPr>
    </w:p>
    <w:p>
      <w:pPr>
        <w:pStyle w:val="KeinLeerraum"/>
        <w:spacing w:line="276" w:lineRule="auto"/>
        <w:contextualSpacing/>
        <w:jc w:val="both"/>
        <w:rPr>
          <w:rFonts w:ascii="Arial" w:hAnsi="Arial" w:cs="Arial"/>
          <w:color w:val="000000" w:themeColor="text1"/>
        </w:rPr>
      </w:pPr>
      <w:r>
        <w:rPr>
          <w:rFonts w:ascii="Arial" w:hAnsi="Arial" w:cs="Arial"/>
          <w:color w:val="000000" w:themeColor="text1"/>
        </w:rPr>
        <w:t>Eignungsnachweise sind entsprechend den Vergabeunterlagen (gem. A.1.3) mit dem Angebot vor Ablauf der Angebotsfrist vorzulegen.</w:t>
      </w:r>
    </w:p>
    <w:bookmarkEnd w:id="59"/>
    <w:p>
      <w:pPr>
        <w:pStyle w:val="Textkrper-Zeileneinzug"/>
        <w:spacing w:line="276" w:lineRule="auto"/>
        <w:ind w:left="0" w:right="-1"/>
        <w:contextualSpacing/>
        <w:rPr>
          <w:rFonts w:cs="Arial"/>
          <w:szCs w:val="22"/>
        </w:rPr>
      </w:pPr>
    </w:p>
    <w:p>
      <w:pPr>
        <w:pStyle w:val="Textkrper-Zeileneinzug"/>
        <w:spacing w:line="276" w:lineRule="auto"/>
        <w:ind w:left="0" w:right="-1"/>
        <w:contextualSpacing/>
        <w:rPr>
          <w:rFonts w:cs="Arial"/>
          <w:b/>
          <w:szCs w:val="22"/>
        </w:rPr>
      </w:pPr>
      <w:r>
        <w:rPr>
          <w:rFonts w:cs="Arial"/>
          <w:b/>
          <w:szCs w:val="22"/>
        </w:rPr>
        <w:t>Fachkunde</w:t>
      </w:r>
    </w:p>
    <w:p>
      <w:pPr>
        <w:spacing w:line="276" w:lineRule="auto"/>
        <w:ind w:right="-1"/>
        <w:contextualSpacing/>
        <w:jc w:val="both"/>
        <w:rPr>
          <w:rFonts w:cs="Arial"/>
        </w:rPr>
      </w:pPr>
      <w:r>
        <w:rPr>
          <w:rFonts w:cs="Arial"/>
        </w:rPr>
        <w:t>Der Bieter ist als fachkundig anzusehen, wenn er über aktuelle und umfassende, der anzubietenden Dienstleistung entsprechende Kenntnisse, Erfahrungen und Fertigkeiten verfügt. Die Fachkunde ist auf Grundlage der im „Angebotsteil I“ vorgelegten Referenz/-en (Nachweis der Leistungsfähigkeit in fachlicher Hinsicht, siehe A 1.3) nachzuweisen.</w:t>
      </w:r>
    </w:p>
    <w:p>
      <w:pPr>
        <w:spacing w:line="276" w:lineRule="auto"/>
        <w:contextualSpacing/>
        <w:jc w:val="both"/>
        <w:rPr>
          <w:rFonts w:cs="Arial"/>
          <w:b/>
        </w:rPr>
      </w:pPr>
    </w:p>
    <w:p>
      <w:pPr>
        <w:spacing w:line="276" w:lineRule="auto"/>
        <w:contextualSpacing/>
        <w:jc w:val="both"/>
        <w:rPr>
          <w:rFonts w:cs="Arial"/>
          <w:b/>
        </w:rPr>
      </w:pPr>
    </w:p>
    <w:p>
      <w:pPr>
        <w:spacing w:line="276" w:lineRule="auto"/>
        <w:contextualSpacing/>
        <w:jc w:val="both"/>
        <w:rPr>
          <w:rFonts w:cs="Arial"/>
        </w:rPr>
      </w:pPr>
      <w:r>
        <w:rPr>
          <w:rFonts w:cs="Arial"/>
          <w:b/>
        </w:rPr>
        <w:t>Leistungsfähigkeit</w:t>
      </w:r>
    </w:p>
    <w:p>
      <w:pPr>
        <w:spacing w:line="276" w:lineRule="auto"/>
        <w:ind w:right="-1"/>
        <w:contextualSpacing/>
        <w:jc w:val="both"/>
        <w:rPr>
          <w:rFonts w:cs="Arial"/>
        </w:rPr>
      </w:pPr>
      <w:r>
        <w:rPr>
          <w:rFonts w:cs="Arial"/>
        </w:rPr>
        <w:t xml:space="preserve">Der Bieter ist als leistungsfähig anzusehen, wenn er als Unternehmen über die personellen, kaufmännischen, technischen und finanziellen Mittel verfügt, um den Auftrag fachlich einwandfrei und fristgerecht ausführen zu können. Auch die Leistungsfähigkeit ist auf Grundlage der im „Angebotsteil I“ vorgelegten Referenz/-en (Nachweis der wirtschaftlichen/ finanziellen Leistungsfähigkeit, siehe A 1.3) nachzuweisen. </w:t>
      </w:r>
    </w:p>
    <w:p>
      <w:pPr>
        <w:spacing w:line="276" w:lineRule="auto"/>
        <w:ind w:right="-1"/>
        <w:contextualSpacing/>
        <w:jc w:val="both"/>
        <w:rPr>
          <w:rFonts w:cs="Arial"/>
        </w:rPr>
      </w:pPr>
    </w:p>
    <w:p>
      <w:pPr>
        <w:rPr>
          <w:rFonts w:cs="Arial"/>
        </w:rPr>
      </w:pPr>
      <w:r>
        <w:rPr>
          <w:rFonts w:cs="Arial"/>
          <w:b/>
          <w:bCs/>
          <w:color w:val="000000" w:themeColor="text1"/>
        </w:rPr>
        <w:t xml:space="preserve">Fehlen von Ausschlussgründen (vormals: Zuverlässigkeit) </w:t>
      </w:r>
    </w:p>
    <w:p>
      <w:pPr>
        <w:spacing w:line="276" w:lineRule="auto"/>
        <w:contextualSpacing/>
        <w:jc w:val="both"/>
        <w:rPr>
          <w:rFonts w:cs="Arial"/>
          <w:color w:val="000000" w:themeColor="text1"/>
        </w:rPr>
      </w:pPr>
      <w:r>
        <w:rPr>
          <w:rFonts w:cs="Arial"/>
          <w:color w:val="000000" w:themeColor="text1"/>
        </w:rPr>
        <w:t>Der Bieter ist als zuschlagswürdig anzusehen, wenn er die Gewähr für eine ordnungsgemäße Vertragserfüllung und für eine ordnungsgemäße Betriebsführung bietet. Die Zuschlags</w:t>
      </w:r>
      <w:r>
        <w:rPr>
          <w:rFonts w:cs="Arial"/>
          <w:color w:val="000000" w:themeColor="text1"/>
        </w:rPr>
        <w:softHyphen/>
        <w:t xml:space="preserve">würdigkeit wird insbesondere anhand der „Weiteren Nachweise“ sowie aufgrund der Eigenerklärungen im „Angebotsteil I“ geprüft. Soweit vorliegend bzw. bekannt, werden im Rahmen des zulässigen Ermessens unter Anwendung der Bestimmungen der §§ 122 bis 126 GWB auch weitere Erkenntnisse berücksichtigt, welche die Zuschlagswürdigkeit des Bieters in Frage stellen könnten (z.B.: Eintragungen in Wettbewerbsregister, Strafverfahren o.Ä.). Ob die entsprechende Zuschlagswürdigkeit des Bieters vorliegt, ist im Einzelfall zu prüfen. </w:t>
      </w:r>
    </w:p>
    <w:p>
      <w:pPr>
        <w:spacing w:line="276" w:lineRule="auto"/>
        <w:ind w:right="-1"/>
        <w:contextualSpacing/>
        <w:jc w:val="both"/>
        <w:rPr>
          <w:rFonts w:cs="Arial"/>
          <w:color w:val="000000" w:themeColor="text1"/>
        </w:rPr>
      </w:pPr>
      <w:r>
        <w:rPr>
          <w:rFonts w:cs="Arial"/>
          <w:color w:val="000000" w:themeColor="text1"/>
        </w:rPr>
        <w:t>Die Vorlage der geforderten Nachweise zur fachlichen Leistungsfähigkeit sowie zur wirtschaftlichen und finanziellen Leistungsfähigkeit des Bieters stellt die Mindestbedingung zum Nachweis der Eignung dar.</w:t>
      </w:r>
    </w:p>
    <w:p>
      <w:pPr>
        <w:spacing w:line="276" w:lineRule="auto"/>
        <w:ind w:right="-1"/>
        <w:contextualSpacing/>
        <w:jc w:val="both"/>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60" w:name="_Toc196302820"/>
      <w:r>
        <w:rPr>
          <w:rFonts w:cs="Arial"/>
          <w:szCs w:val="22"/>
        </w:rPr>
        <w:t>A.2.3</w:t>
      </w:r>
      <w:r>
        <w:rPr>
          <w:rFonts w:cs="Arial"/>
          <w:szCs w:val="22"/>
        </w:rPr>
        <w:tab/>
        <w:t>Wertungsphase 3: Prüfung der Angemessenheit der Angebotspreise</w:t>
      </w:r>
      <w:bookmarkEnd w:id="60"/>
      <w:r>
        <w:rPr>
          <w:rFonts w:cs="Arial"/>
          <w:szCs w:val="22"/>
        </w:rPr>
        <w:t xml:space="preserve"> </w:t>
      </w:r>
    </w:p>
    <w:p>
      <w:pPr>
        <w:spacing w:line="276" w:lineRule="auto"/>
        <w:contextualSpacing/>
        <w:jc w:val="both"/>
        <w:rPr>
          <w:rFonts w:cs="Arial"/>
        </w:rPr>
      </w:pPr>
    </w:p>
    <w:p>
      <w:pPr>
        <w:spacing w:line="276" w:lineRule="auto"/>
        <w:contextualSpacing/>
        <w:jc w:val="both"/>
        <w:rPr>
          <w:rFonts w:cs="Arial"/>
          <w:color w:val="000000" w:themeColor="text1"/>
        </w:rPr>
      </w:pPr>
      <w:bookmarkStart w:id="61" w:name="_Toc334168781"/>
      <w:r>
        <w:rPr>
          <w:rFonts w:cs="Arial"/>
          <w:color w:val="000000" w:themeColor="text1"/>
        </w:rPr>
        <w:lastRenderedPageBreak/>
        <w:t>Die Entscheidung, ob ein Angebot in der Wertung verbleibt, muss in jedem Einzelfall gesondert getroffen werden.</w:t>
      </w:r>
      <w:bookmarkEnd w:id="61"/>
    </w:p>
    <w:p>
      <w:pPr>
        <w:pStyle w:val="KeinLeerraum"/>
        <w:spacing w:line="276" w:lineRule="auto"/>
        <w:contextualSpacing/>
        <w:jc w:val="both"/>
        <w:rPr>
          <w:rFonts w:ascii="Arial" w:hAnsi="Arial" w:cs="Arial"/>
          <w:color w:val="000000" w:themeColor="text1"/>
        </w:rPr>
      </w:pPr>
    </w:p>
    <w:p>
      <w:pPr>
        <w:pStyle w:val="KeinLeerraum"/>
        <w:spacing w:line="276" w:lineRule="auto"/>
        <w:contextualSpacing/>
        <w:jc w:val="both"/>
        <w:rPr>
          <w:rFonts w:ascii="Arial" w:hAnsi="Arial" w:cs="Arial"/>
          <w:color w:val="000000" w:themeColor="text1"/>
        </w:rPr>
      </w:pPr>
      <w:r>
        <w:rPr>
          <w:rFonts w:ascii="Arial" w:hAnsi="Arial" w:cs="Arial"/>
          <w:color w:val="000000" w:themeColor="text1"/>
        </w:rPr>
        <w:t>Alle Preise sind in Euro mit höchstens zwei Nachkommastellen anzugeben.</w:t>
      </w:r>
    </w:p>
    <w:p>
      <w:pPr>
        <w:pStyle w:val="KeinLeerraum"/>
        <w:spacing w:line="276" w:lineRule="auto"/>
        <w:contextualSpacing/>
        <w:jc w:val="both"/>
        <w:rPr>
          <w:rFonts w:ascii="Arial" w:hAnsi="Arial" w:cs="Arial"/>
          <w:color w:val="000000" w:themeColor="text1"/>
        </w:rPr>
      </w:pPr>
      <w:r>
        <w:rPr>
          <w:rFonts w:ascii="Arial" w:hAnsi="Arial" w:cs="Arial"/>
          <w:color w:val="000000" w:themeColor="text1"/>
        </w:rPr>
        <w:t>Die Preise (Einheitspreise, Pauschalpreise, Verrechnungssätze usw.) sind ohne Umsatzsteuer anzugeben. Der Umsatzsteuerbetrag ist unter Zugrundelegung des geltenden Steuersatzes am Schluss des Angebotes hinzuzufügen.</w:t>
      </w:r>
    </w:p>
    <w:p>
      <w:pPr>
        <w:spacing w:line="276" w:lineRule="auto"/>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62" w:name="_Toc196302821"/>
      <w:r>
        <w:rPr>
          <w:rFonts w:cs="Arial"/>
          <w:szCs w:val="22"/>
        </w:rPr>
        <w:t>A.2.4</w:t>
      </w:r>
      <w:r>
        <w:rPr>
          <w:rFonts w:cs="Arial"/>
          <w:szCs w:val="22"/>
        </w:rPr>
        <w:tab/>
        <w:t>Wertungsphase 4: Auswahl des wirtschaftlichsten Angebotes</w:t>
      </w:r>
      <w:bookmarkEnd w:id="62"/>
      <w:r>
        <w:rPr>
          <w:rFonts w:cs="Arial"/>
          <w:szCs w:val="22"/>
        </w:rPr>
        <w:t xml:space="preserve"> </w:t>
      </w:r>
    </w:p>
    <w:p>
      <w:pPr>
        <w:tabs>
          <w:tab w:val="right" w:pos="9497"/>
        </w:tabs>
        <w:spacing w:line="276" w:lineRule="auto"/>
        <w:contextualSpacing/>
        <w:jc w:val="both"/>
        <w:rPr>
          <w:rFonts w:cs="Arial"/>
          <w:color w:val="000000"/>
          <w:highlight w:val="yellow"/>
          <w:lang w:eastAsia="de-DE"/>
        </w:rPr>
      </w:pPr>
    </w:p>
    <w:p>
      <w:pPr>
        <w:spacing w:line="276" w:lineRule="auto"/>
        <w:ind w:right="-1"/>
        <w:contextualSpacing/>
        <w:jc w:val="both"/>
        <w:rPr>
          <w:rFonts w:cs="Arial"/>
          <w:color w:val="000000"/>
          <w:lang w:eastAsia="de-DE"/>
        </w:rPr>
      </w:pPr>
      <w:r>
        <w:rPr>
          <w:rFonts w:cs="Arial"/>
          <w:color w:val="000000"/>
          <w:lang w:eastAsia="de-DE"/>
        </w:rPr>
        <w:t>Im Zuschlagskriterium „Preis“ erfolgt die Bewertung der wertbaren Angebote, wie folgt:</w:t>
      </w:r>
    </w:p>
    <w:p>
      <w:pPr>
        <w:spacing w:line="276" w:lineRule="auto"/>
        <w:ind w:right="-1"/>
        <w:contextualSpacing/>
        <w:jc w:val="both"/>
        <w:rPr>
          <w:rFonts w:cs="Arial"/>
          <w:color w:val="000000"/>
          <w:lang w:eastAsia="de-DE"/>
        </w:rPr>
      </w:pPr>
    </w:p>
    <w:p>
      <w:pPr>
        <w:spacing w:line="276" w:lineRule="auto"/>
        <w:ind w:right="-1"/>
        <w:contextualSpacing/>
        <w:jc w:val="both"/>
        <w:rPr>
          <w:rFonts w:cs="Arial"/>
          <w:color w:val="000000"/>
          <w:lang w:eastAsia="de-DE"/>
        </w:rPr>
      </w:pPr>
      <w:r>
        <w:rPr>
          <w:rFonts w:cs="Arial"/>
          <w:color w:val="000000"/>
          <w:lang w:eastAsia="de-DE"/>
        </w:rPr>
        <w:t xml:space="preserve">Der gemäß der Tabelle im „Angebotsteil II“ („Ausführungen und notwendige Angaben des Bietenden zum Zuschlagskriterium ‚Preis‘“) ausgewiesene Preis wird zur Grundlage der preislichen Bewertung genommen. </w:t>
      </w:r>
    </w:p>
    <w:p>
      <w:pPr>
        <w:spacing w:line="276" w:lineRule="auto"/>
        <w:ind w:right="-1"/>
        <w:contextualSpacing/>
        <w:jc w:val="both"/>
        <w:rPr>
          <w:rFonts w:cs="Arial"/>
          <w:color w:val="000000"/>
          <w:lang w:eastAsia="de-DE"/>
        </w:rPr>
      </w:pPr>
    </w:p>
    <w:p>
      <w:pPr>
        <w:spacing w:line="276" w:lineRule="auto"/>
        <w:ind w:right="-1"/>
        <w:contextualSpacing/>
        <w:jc w:val="both"/>
        <w:rPr>
          <w:rFonts w:cs="Arial"/>
          <w:color w:val="000000"/>
          <w:lang w:eastAsia="de-DE"/>
        </w:rPr>
      </w:pPr>
      <w:r>
        <w:rPr>
          <w:rFonts w:cs="Arial"/>
          <w:color w:val="000000"/>
          <w:lang w:eastAsia="de-DE"/>
        </w:rPr>
        <w:t>Der Bieter mit dem niedrigsten Preis erhält den Zuschlag.</w:t>
      </w:r>
    </w:p>
    <w:p>
      <w:pPr>
        <w:rPr>
          <w:rFonts w:cs="Arial"/>
          <w:color w:val="000000"/>
          <w:lang w:eastAsia="de-DE"/>
        </w:rPr>
      </w:pPr>
    </w:p>
    <w:p>
      <w:pPr>
        <w:spacing w:line="276" w:lineRule="auto"/>
        <w:ind w:right="-1"/>
        <w:contextualSpacing/>
        <w:jc w:val="both"/>
        <w:rPr>
          <w:rFonts w:cs="Arial"/>
          <w:color w:val="000000"/>
          <w:lang w:eastAsia="de-DE"/>
        </w:rPr>
      </w:pPr>
    </w:p>
    <w:p>
      <w:pPr>
        <w:pStyle w:val="berschrift3"/>
        <w:spacing w:line="276" w:lineRule="auto"/>
        <w:contextualSpacing/>
        <w:jc w:val="both"/>
        <w:rPr>
          <w:rFonts w:cs="Arial"/>
          <w:szCs w:val="22"/>
        </w:rPr>
      </w:pPr>
      <w:bookmarkStart w:id="63" w:name="_Toc196302822"/>
      <w:r>
        <w:rPr>
          <w:rFonts w:cs="Arial"/>
          <w:szCs w:val="22"/>
        </w:rPr>
        <w:t>A.2.5</w:t>
      </w:r>
      <w:r>
        <w:rPr>
          <w:rFonts w:cs="Arial"/>
          <w:szCs w:val="22"/>
        </w:rPr>
        <w:tab/>
        <w:t>Bietergespräche</w:t>
      </w:r>
      <w:bookmarkEnd w:id="63"/>
      <w:r>
        <w:rPr>
          <w:rFonts w:cs="Arial"/>
          <w:szCs w:val="22"/>
        </w:rPr>
        <w:t xml:space="preserve"> und Nachforderungen</w:t>
      </w:r>
    </w:p>
    <w:p>
      <w:pPr>
        <w:spacing w:line="276" w:lineRule="auto"/>
        <w:contextualSpacing/>
        <w:jc w:val="both"/>
        <w:rPr>
          <w:rFonts w:cs="Arial"/>
        </w:rPr>
      </w:pPr>
    </w:p>
    <w:p>
      <w:pPr>
        <w:spacing w:line="276" w:lineRule="auto"/>
        <w:contextualSpacing/>
        <w:jc w:val="both"/>
        <w:rPr>
          <w:rFonts w:cs="Arial"/>
        </w:rPr>
      </w:pPr>
      <w:bookmarkStart w:id="64" w:name="_Toc334168785"/>
      <w:r>
        <w:rPr>
          <w:rFonts w:cs="Arial"/>
        </w:rPr>
        <w:t>Im Rahmen der Angebotsprüfung behält sich die Auftraggeberin vor, nach Öffnung der Angebote bis zur Zuschlagserteilung Bietergespräche zu führen, um eventuelle Zweifel über die Eignung Bietender oder der Angebote im Interesse der Ermittlung des wirtschaftlich günstigsten Angebots zu beseitigen. Nachverhandlungen finden hierbei in einem Offenen Verfahren wie vorliegend nicht statt.</w:t>
      </w:r>
      <w:bookmarkEnd w:id="64"/>
    </w:p>
    <w:p>
      <w:pPr>
        <w:spacing w:line="276" w:lineRule="auto"/>
        <w:contextualSpacing/>
        <w:jc w:val="both"/>
        <w:rPr>
          <w:rFonts w:cs="Arial"/>
        </w:rPr>
      </w:pPr>
    </w:p>
    <w:p>
      <w:pPr>
        <w:spacing w:line="276" w:lineRule="auto"/>
        <w:contextualSpacing/>
        <w:jc w:val="both"/>
        <w:rPr>
          <w:rFonts w:cs="Arial"/>
        </w:rPr>
      </w:pPr>
      <w:r>
        <w:rPr>
          <w:rFonts w:cs="Arial"/>
        </w:rPr>
        <w:t>Nachforderungen werden im Rahmen der gesetzlichen Möglichkeiten eingeholt.</w:t>
      </w:r>
    </w:p>
    <w:p>
      <w:pPr>
        <w:spacing w:line="276" w:lineRule="auto"/>
        <w:ind w:right="-1"/>
        <w:contextualSpacing/>
        <w:jc w:val="both"/>
        <w:rPr>
          <w:rFonts w:cs="Arial"/>
        </w:rPr>
      </w:pPr>
    </w:p>
    <w:p>
      <w:pPr>
        <w:spacing w:line="276" w:lineRule="auto"/>
        <w:ind w:right="-1"/>
        <w:contextualSpacing/>
        <w:jc w:val="both"/>
        <w:rPr>
          <w:rFonts w:cs="Arial"/>
        </w:rPr>
      </w:pPr>
    </w:p>
    <w:p>
      <w:pPr>
        <w:pStyle w:val="berschrift3"/>
        <w:spacing w:line="276" w:lineRule="auto"/>
        <w:contextualSpacing/>
        <w:jc w:val="both"/>
        <w:rPr>
          <w:rFonts w:cs="Arial"/>
          <w:szCs w:val="22"/>
        </w:rPr>
      </w:pPr>
      <w:bookmarkStart w:id="65" w:name="_Toc196302823"/>
      <w:r>
        <w:rPr>
          <w:rFonts w:cs="Arial"/>
          <w:szCs w:val="22"/>
        </w:rPr>
        <w:t>A.2.6</w:t>
      </w:r>
      <w:r>
        <w:rPr>
          <w:rFonts w:cs="Arial"/>
          <w:szCs w:val="22"/>
        </w:rPr>
        <w:tab/>
        <w:t>Information der Bieter</w:t>
      </w:r>
      <w:bookmarkEnd w:id="65"/>
      <w:r>
        <w:rPr>
          <w:rFonts w:cs="Arial"/>
          <w:szCs w:val="22"/>
        </w:rPr>
        <w:t xml:space="preserve"> </w:t>
      </w:r>
    </w:p>
    <w:p>
      <w:pPr>
        <w:spacing w:line="276" w:lineRule="auto"/>
        <w:contextualSpacing/>
        <w:jc w:val="both"/>
        <w:rPr>
          <w:rFonts w:cs="Arial"/>
        </w:rPr>
      </w:pPr>
    </w:p>
    <w:p>
      <w:pPr>
        <w:spacing w:line="276" w:lineRule="auto"/>
        <w:contextualSpacing/>
        <w:jc w:val="both"/>
        <w:rPr>
          <w:rFonts w:cs="Arial"/>
        </w:rPr>
      </w:pPr>
      <w:r>
        <w:rPr>
          <w:rFonts w:cs="Arial"/>
        </w:rPr>
        <w:t>Die Auftraggeberin wird entsprechend § 134 Abs. 2 i. V. m. § 134 Abs. 1 GWB erst nach dem Ablauf von 10 Kalendertagen nach Absendung der Information über die Nichtberücksichtigung der Angebote an die jeweiligen Bietenden den Zuschlag auf das Angebot der bzw. des Bestbietenden erteilen. Die Frist beginnt am Tag nach der Absendung der Information durch die Auftraggeberin; auf den Tag des Zugangs bei den betroffenen Bietenden kommt es nicht an.</w:t>
      </w:r>
    </w:p>
    <w:p>
      <w:pPr>
        <w:spacing w:line="276" w:lineRule="auto"/>
        <w:contextualSpacing/>
        <w:jc w:val="both"/>
        <w:rPr>
          <w:rFonts w:cs="Arial"/>
          <w:b/>
        </w:rPr>
      </w:pPr>
      <w:r>
        <w:rPr>
          <w:rFonts w:cs="Arial"/>
        </w:rPr>
        <w:t xml:space="preserve">Das Informationsschreiben enthält den Namen der bzw. des Bietenden, auf deren bzw. dessen Angebot der Zuschlag erteilt werden soll, den frühesten Zeitpunkt des Vertragsschlusses sowie die Gründe der Nichtberücksichtigung des jeweiligen Angebots (Absageschreiben). Der voraussichtliche Zuschlagsbieter wird zeitgleich über seine beabsichtigte Bezuschlagung informiert (Informationsschreiben über den vssl. Zuschlag). </w:t>
      </w:r>
    </w:p>
    <w:sectPr>
      <w:headerReference w:type="default" r:id="rId12"/>
      <w:foot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center"/>
    </w:pPr>
    <w:r>
      <w:fldChar w:fldCharType="begin"/>
    </w:r>
    <w:r>
      <w:instrText xml:space="preserve"> PAGE   \* MERGEFORMAT </w:instrText>
    </w:r>
    <w:r>
      <w:fldChar w:fldCharType="separate"/>
    </w:r>
    <w:r>
      <w:rPr>
        <w:noProof/>
      </w:rPr>
      <w:t>2</w:t>
    </w:r>
    <w:r>
      <w:rPr>
        <w:noProof/>
      </w:rPr>
      <w:fldChar w:fldCharType="end"/>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rFonts w:eastAsia="Times" w:cs="Arial"/>
        <w:b/>
        <w:bCs/>
        <w:noProof/>
        <w:lang w:eastAsia="de-DE"/>
      </w:rPr>
    </w:pPr>
    <w:r>
      <w:rPr>
        <w:rFonts w:eastAsia="Times" w:cs="Arial"/>
        <w:b/>
        <w:bCs/>
        <w:noProof/>
        <w:lang w:eastAsia="de-DE"/>
      </w:rPr>
      <w:drawing>
        <wp:anchor distT="0" distB="0" distL="114300" distR="114300" simplePos="0" relativeHeight="251658240" behindDoc="0" locked="0" layoutInCell="1" allowOverlap="1">
          <wp:simplePos x="0" y="0"/>
          <wp:positionH relativeFrom="column">
            <wp:posOffset>5281295</wp:posOffset>
          </wp:positionH>
          <wp:positionV relativeFrom="paragraph">
            <wp:posOffset>-258445</wp:posOffset>
          </wp:positionV>
          <wp:extent cx="1111885" cy="88149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111885" cy="881494"/>
                  </a:xfrm>
                  <a:prstGeom prst="rect">
                    <a:avLst/>
                  </a:prstGeom>
                </pic:spPr>
              </pic:pic>
            </a:graphicData>
          </a:graphic>
          <wp14:sizeRelH relativeFrom="margin">
            <wp14:pctWidth>0</wp14:pctWidth>
          </wp14:sizeRelH>
          <wp14:sizeRelV relativeFrom="margin">
            <wp14:pctHeight>0</wp14:pctHeight>
          </wp14:sizeRelV>
        </wp:anchor>
      </w:drawing>
    </w:r>
    <w:r>
      <w:rPr>
        <w:rFonts w:cs="Arial"/>
        <w:b/>
      </w:rPr>
      <w:t>Teil A</w:t>
    </w:r>
    <w:r>
      <w:rPr>
        <w:rFonts w:cs="Arial"/>
        <w:b/>
      </w:rPr>
      <w:tab/>
      <w:t xml:space="preserve">Bewerbungsbedingungen für Bewerber und Bieter </w:t>
    </w:r>
  </w:p>
  <w:p>
    <w:pPr>
      <w:pStyle w:val="Kopfzeile"/>
    </w:pPr>
  </w:p>
  <w:p>
    <w:pPr>
      <w:pStyle w:val="Kopfzeile"/>
    </w:pPr>
  </w:p>
  <w:p>
    <w:pPr>
      <w:pStyle w:val="Kopfzeile"/>
    </w:pPr>
  </w:p>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09"/>
      <w:gridCol w:w="2410"/>
      <w:gridCol w:w="2803"/>
    </w:tblGrid>
    <w:tr>
      <w:tc>
        <w:tcPr>
          <w:tcW w:w="2802" w:type="dxa"/>
          <w:tcBorders>
            <w:top w:val="nil"/>
            <w:left w:val="nil"/>
            <w:bottom w:val="nil"/>
            <w:right w:val="nil"/>
          </w:tcBorders>
        </w:tcPr>
        <w:p>
          <w:pPr>
            <w:rPr>
              <w:rFonts w:ascii="Calibri" w:hAnsi="Calibri" w:cs="Calibri"/>
              <w:b/>
            </w:rPr>
          </w:pPr>
          <w:r>
            <w:rPr>
              <w:rFonts w:ascii="Calibri" w:hAnsi="Calibri" w:cs="Calibri"/>
              <w:b/>
            </w:rPr>
            <w:t>Ärztlicher und psychologischer Dienst</w:t>
          </w:r>
        </w:p>
        <w:p>
          <w:pPr>
            <w:pStyle w:val="KeinLeerraum"/>
            <w:rPr>
              <w:sz w:val="24"/>
              <w:szCs w:val="24"/>
            </w:rPr>
          </w:pPr>
          <w:r>
            <w:rPr>
              <w:sz w:val="24"/>
              <w:szCs w:val="24"/>
            </w:rPr>
            <w:t>Vergabe-Nr.: L-0034-15</w:t>
          </w:r>
        </w:p>
        <w:p>
          <w:pPr>
            <w:pStyle w:val="Kopfzeile"/>
            <w:tabs>
              <w:tab w:val="clear" w:pos="4536"/>
              <w:tab w:val="clear" w:pos="9072"/>
            </w:tabs>
            <w:rPr>
              <w:sz w:val="16"/>
              <w:szCs w:val="16"/>
              <w:lang w:eastAsia="de-DE"/>
            </w:rPr>
          </w:pPr>
        </w:p>
      </w:tc>
      <w:tc>
        <w:tcPr>
          <w:tcW w:w="2409" w:type="dxa"/>
          <w:tcBorders>
            <w:top w:val="nil"/>
            <w:left w:val="nil"/>
            <w:bottom w:val="nil"/>
            <w:right w:val="nil"/>
          </w:tcBorders>
        </w:tcPr>
        <w:p>
          <w:pPr>
            <w:pStyle w:val="Kopfzeile"/>
            <w:tabs>
              <w:tab w:val="clear" w:pos="4536"/>
              <w:tab w:val="clear" w:pos="9072"/>
            </w:tabs>
            <w:rPr>
              <w:sz w:val="16"/>
              <w:szCs w:val="16"/>
              <w:lang w:eastAsia="de-DE"/>
            </w:rPr>
          </w:pPr>
        </w:p>
      </w:tc>
      <w:tc>
        <w:tcPr>
          <w:tcW w:w="2410" w:type="dxa"/>
          <w:tcBorders>
            <w:top w:val="nil"/>
            <w:left w:val="nil"/>
            <w:bottom w:val="nil"/>
            <w:right w:val="nil"/>
          </w:tcBorders>
        </w:tcPr>
        <w:p>
          <w:pPr>
            <w:pStyle w:val="Kopfzeile"/>
            <w:tabs>
              <w:tab w:val="clear" w:pos="4536"/>
              <w:tab w:val="clear" w:pos="9072"/>
            </w:tabs>
            <w:rPr>
              <w:sz w:val="16"/>
              <w:szCs w:val="16"/>
              <w:lang w:eastAsia="de-DE"/>
            </w:rPr>
          </w:pPr>
          <w:r>
            <w:rPr>
              <w:sz w:val="16"/>
              <w:szCs w:val="16"/>
              <w:lang w:eastAsia="de-DE"/>
            </w:rPr>
            <w:t xml:space="preserve">            </w:t>
          </w:r>
        </w:p>
      </w:tc>
      <w:tc>
        <w:tcPr>
          <w:tcW w:w="2803" w:type="dxa"/>
          <w:tcBorders>
            <w:top w:val="nil"/>
            <w:left w:val="nil"/>
            <w:bottom w:val="nil"/>
            <w:right w:val="nil"/>
          </w:tcBorders>
        </w:tcPr>
        <w:p>
          <w:pPr>
            <w:rPr>
              <w:rFonts w:cs="Arial"/>
              <w:sz w:val="52"/>
              <w:szCs w:val="52"/>
              <w:lang w:eastAsia="de-DE"/>
            </w:rPr>
          </w:pPr>
          <w:r>
            <w:rPr>
              <w:noProof/>
              <w:lang w:eastAsia="de-DE"/>
            </w:rPr>
            <w:drawing>
              <wp:inline distT="0" distB="0" distL="0" distR="0">
                <wp:extent cx="1042035" cy="765810"/>
                <wp:effectExtent l="19050" t="0" r="571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42035" cy="765810"/>
                        </a:xfrm>
                        <a:prstGeom prst="rect">
                          <a:avLst/>
                        </a:prstGeom>
                        <a:noFill/>
                        <a:ln w="9525">
                          <a:noFill/>
                          <a:miter lim="800000"/>
                          <a:headEnd/>
                          <a:tailEnd/>
                        </a:ln>
                      </pic:spPr>
                    </pic:pic>
                  </a:graphicData>
                </a:graphic>
              </wp:inline>
            </w:drawing>
          </w:r>
        </w:p>
      </w:tc>
    </w:tr>
    <w:tr>
      <w:trPr>
        <w:trHeight w:val="69"/>
      </w:trPr>
      <w:tc>
        <w:tcPr>
          <w:tcW w:w="2802" w:type="dxa"/>
          <w:tcBorders>
            <w:top w:val="nil"/>
            <w:left w:val="nil"/>
            <w:bottom w:val="nil"/>
            <w:right w:val="nil"/>
          </w:tcBorders>
        </w:tcPr>
        <w:p>
          <w:pPr>
            <w:pStyle w:val="Kopfzeile"/>
            <w:tabs>
              <w:tab w:val="clear" w:pos="4536"/>
              <w:tab w:val="clear" w:pos="9072"/>
            </w:tabs>
            <w:rPr>
              <w:sz w:val="16"/>
              <w:szCs w:val="16"/>
              <w:lang w:eastAsia="de-DE"/>
            </w:rPr>
          </w:pPr>
        </w:p>
      </w:tc>
      <w:tc>
        <w:tcPr>
          <w:tcW w:w="2409" w:type="dxa"/>
          <w:tcBorders>
            <w:top w:val="nil"/>
            <w:left w:val="nil"/>
            <w:bottom w:val="nil"/>
            <w:right w:val="nil"/>
          </w:tcBorders>
        </w:tcPr>
        <w:p>
          <w:pPr>
            <w:pStyle w:val="Kopfzeile"/>
            <w:tabs>
              <w:tab w:val="clear" w:pos="4536"/>
              <w:tab w:val="clear" w:pos="9072"/>
            </w:tabs>
            <w:rPr>
              <w:sz w:val="16"/>
              <w:szCs w:val="16"/>
              <w:lang w:eastAsia="de-DE"/>
            </w:rPr>
          </w:pPr>
        </w:p>
        <w:p>
          <w:pPr>
            <w:pStyle w:val="Kopfzeile"/>
            <w:tabs>
              <w:tab w:val="clear" w:pos="4536"/>
              <w:tab w:val="clear" w:pos="9072"/>
            </w:tabs>
            <w:rPr>
              <w:sz w:val="16"/>
              <w:szCs w:val="16"/>
              <w:lang w:eastAsia="de-DE"/>
            </w:rPr>
          </w:pPr>
        </w:p>
      </w:tc>
      <w:tc>
        <w:tcPr>
          <w:tcW w:w="2410" w:type="dxa"/>
          <w:tcBorders>
            <w:top w:val="nil"/>
            <w:left w:val="nil"/>
            <w:bottom w:val="nil"/>
            <w:right w:val="nil"/>
          </w:tcBorders>
        </w:tcPr>
        <w:p>
          <w:pPr>
            <w:pStyle w:val="Kopfzeile"/>
            <w:tabs>
              <w:tab w:val="clear" w:pos="4536"/>
              <w:tab w:val="clear" w:pos="9072"/>
            </w:tabs>
            <w:rPr>
              <w:sz w:val="16"/>
              <w:szCs w:val="16"/>
              <w:lang w:eastAsia="de-DE"/>
            </w:rPr>
          </w:pPr>
        </w:p>
      </w:tc>
      <w:tc>
        <w:tcPr>
          <w:tcW w:w="2803" w:type="dxa"/>
          <w:tcBorders>
            <w:top w:val="nil"/>
            <w:left w:val="nil"/>
            <w:bottom w:val="nil"/>
            <w:right w:val="nil"/>
          </w:tcBorders>
        </w:tcPr>
        <w:p>
          <w:pPr>
            <w:rPr>
              <w:sz w:val="16"/>
              <w:szCs w:val="16"/>
              <w:lang w:eastAsia="de-DE"/>
            </w:rPr>
          </w:pPr>
        </w:p>
      </w:tc>
    </w:tr>
  </w:tbl>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47E"/>
    <w:multiLevelType w:val="hybridMultilevel"/>
    <w:tmpl w:val="2D569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F36A72"/>
    <w:multiLevelType w:val="hybridMultilevel"/>
    <w:tmpl w:val="8E2246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C3567E"/>
    <w:multiLevelType w:val="hybridMultilevel"/>
    <w:tmpl w:val="FFCE11D2"/>
    <w:lvl w:ilvl="0" w:tplc="9890756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2E2F28"/>
    <w:multiLevelType w:val="hybridMultilevel"/>
    <w:tmpl w:val="B4D27DE0"/>
    <w:lvl w:ilvl="0" w:tplc="FFFFFFFF">
      <w:start w:val="1"/>
      <w:numFmt w:val="decimal"/>
      <w:lvlText w:val="%1."/>
      <w:lvlJc w:val="left"/>
      <w:pPr>
        <w:tabs>
          <w:tab w:val="num" w:pos="1232"/>
        </w:tabs>
        <w:ind w:left="1232" w:hanging="700"/>
      </w:pPr>
      <w:rPr>
        <w:rFonts w:hint="default"/>
      </w:rPr>
    </w:lvl>
    <w:lvl w:ilvl="1" w:tplc="FFFFFFFF" w:tentative="1">
      <w:start w:val="1"/>
      <w:numFmt w:val="lowerLetter"/>
      <w:lvlText w:val="%2."/>
      <w:lvlJc w:val="left"/>
      <w:pPr>
        <w:tabs>
          <w:tab w:val="num" w:pos="1612"/>
        </w:tabs>
        <w:ind w:left="1612" w:hanging="360"/>
      </w:pPr>
    </w:lvl>
    <w:lvl w:ilvl="2" w:tplc="FFFFFFFF" w:tentative="1">
      <w:start w:val="1"/>
      <w:numFmt w:val="lowerRoman"/>
      <w:lvlText w:val="%3."/>
      <w:lvlJc w:val="right"/>
      <w:pPr>
        <w:tabs>
          <w:tab w:val="num" w:pos="2332"/>
        </w:tabs>
        <w:ind w:left="2332" w:hanging="180"/>
      </w:pPr>
    </w:lvl>
    <w:lvl w:ilvl="3" w:tplc="FFFFFFFF" w:tentative="1">
      <w:start w:val="1"/>
      <w:numFmt w:val="decimal"/>
      <w:lvlText w:val="%4."/>
      <w:lvlJc w:val="left"/>
      <w:pPr>
        <w:tabs>
          <w:tab w:val="num" w:pos="3052"/>
        </w:tabs>
        <w:ind w:left="3052" w:hanging="360"/>
      </w:pPr>
    </w:lvl>
    <w:lvl w:ilvl="4" w:tplc="FFFFFFFF" w:tentative="1">
      <w:start w:val="1"/>
      <w:numFmt w:val="lowerLetter"/>
      <w:lvlText w:val="%5."/>
      <w:lvlJc w:val="left"/>
      <w:pPr>
        <w:tabs>
          <w:tab w:val="num" w:pos="3772"/>
        </w:tabs>
        <w:ind w:left="3772" w:hanging="360"/>
      </w:pPr>
    </w:lvl>
    <w:lvl w:ilvl="5" w:tplc="FFFFFFFF" w:tentative="1">
      <w:start w:val="1"/>
      <w:numFmt w:val="lowerRoman"/>
      <w:lvlText w:val="%6."/>
      <w:lvlJc w:val="right"/>
      <w:pPr>
        <w:tabs>
          <w:tab w:val="num" w:pos="4492"/>
        </w:tabs>
        <w:ind w:left="4492" w:hanging="180"/>
      </w:pPr>
    </w:lvl>
    <w:lvl w:ilvl="6" w:tplc="FFFFFFFF" w:tentative="1">
      <w:start w:val="1"/>
      <w:numFmt w:val="decimal"/>
      <w:lvlText w:val="%7."/>
      <w:lvlJc w:val="left"/>
      <w:pPr>
        <w:tabs>
          <w:tab w:val="num" w:pos="5212"/>
        </w:tabs>
        <w:ind w:left="5212" w:hanging="360"/>
      </w:pPr>
    </w:lvl>
    <w:lvl w:ilvl="7" w:tplc="FFFFFFFF" w:tentative="1">
      <w:start w:val="1"/>
      <w:numFmt w:val="lowerLetter"/>
      <w:lvlText w:val="%8."/>
      <w:lvlJc w:val="left"/>
      <w:pPr>
        <w:tabs>
          <w:tab w:val="num" w:pos="5932"/>
        </w:tabs>
        <w:ind w:left="5932" w:hanging="360"/>
      </w:pPr>
    </w:lvl>
    <w:lvl w:ilvl="8" w:tplc="FFFFFFFF" w:tentative="1">
      <w:start w:val="1"/>
      <w:numFmt w:val="lowerRoman"/>
      <w:lvlText w:val="%9."/>
      <w:lvlJc w:val="right"/>
      <w:pPr>
        <w:tabs>
          <w:tab w:val="num" w:pos="6652"/>
        </w:tabs>
        <w:ind w:left="6652" w:hanging="180"/>
      </w:pPr>
    </w:lvl>
  </w:abstractNum>
  <w:abstractNum w:abstractNumId="4" w15:restartNumberingAfterBreak="0">
    <w:nsid w:val="16463450"/>
    <w:multiLevelType w:val="hybridMultilevel"/>
    <w:tmpl w:val="3BB88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F47359"/>
    <w:multiLevelType w:val="hybridMultilevel"/>
    <w:tmpl w:val="761A2C84"/>
    <w:lvl w:ilvl="0" w:tplc="AFB2E38E">
      <w:start w:val="15"/>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1F01DEF"/>
    <w:multiLevelType w:val="hybridMultilevel"/>
    <w:tmpl w:val="3604C8A6"/>
    <w:lvl w:ilvl="0" w:tplc="0407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121211"/>
    <w:multiLevelType w:val="hybridMultilevel"/>
    <w:tmpl w:val="607C0986"/>
    <w:lvl w:ilvl="0" w:tplc="A0CEAC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4218BA"/>
    <w:multiLevelType w:val="hybridMultilevel"/>
    <w:tmpl w:val="8728A5A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6333D15"/>
    <w:multiLevelType w:val="hybridMultilevel"/>
    <w:tmpl w:val="B2D87592"/>
    <w:lvl w:ilvl="0" w:tplc="D554A8B0">
      <w:start w:val="1"/>
      <w:numFmt w:val="bullet"/>
      <w:pStyle w:val="Punktaufzhlung"/>
      <w:lvlText w:val=""/>
      <w:lvlJc w:val="left"/>
      <w:pPr>
        <w:tabs>
          <w:tab w:val="num" w:pos="720"/>
        </w:tabs>
        <w:ind w:left="717" w:hanging="357"/>
      </w:pPr>
      <w:rPr>
        <w:rFonts w:ascii="Symbol" w:hAnsi="Symbol" w:hint="default"/>
        <w:color w:val="auto"/>
      </w:rPr>
    </w:lvl>
    <w:lvl w:ilvl="1" w:tplc="FFFFFFFF">
      <w:start w:val="3"/>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6A25"/>
    <w:multiLevelType w:val="hybridMultilevel"/>
    <w:tmpl w:val="1331857F"/>
    <w:lvl w:ilvl="0" w:tplc="FFFFFFFF">
      <w:start w:val="1"/>
      <w:numFmt w:val="ideographDigital"/>
      <w:lvlText w:val=""/>
      <w:lvlJc w:val="left"/>
    </w:lvl>
    <w:lvl w:ilvl="1" w:tplc="9F275F96">
      <w:start w:val="1"/>
      <w:numFmt w:val="bullet"/>
      <w:lvlText w:val="•"/>
      <w:lvlJc w:val="left"/>
    </w:lvl>
    <w:lvl w:ilvl="2" w:tplc="2E590FF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F9425AC"/>
    <w:multiLevelType w:val="hybridMultilevel"/>
    <w:tmpl w:val="DB6EC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68250A"/>
    <w:multiLevelType w:val="hybridMultilevel"/>
    <w:tmpl w:val="B5889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7D5020"/>
    <w:multiLevelType w:val="hybridMultilevel"/>
    <w:tmpl w:val="1E1C5B66"/>
    <w:lvl w:ilvl="0" w:tplc="FFFFFFFF">
      <w:start w:val="1"/>
      <w:numFmt w:val="bullet"/>
      <w:lvlText w:val=""/>
      <w:lvlJc w:val="left"/>
      <w:pPr>
        <w:tabs>
          <w:tab w:val="num" w:pos="1070"/>
        </w:tabs>
        <w:ind w:left="1070" w:hanging="360"/>
      </w:pPr>
      <w:rPr>
        <w:rFonts w:ascii="Symbol" w:hAnsi="Symbol"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8E17664"/>
    <w:multiLevelType w:val="hybridMultilevel"/>
    <w:tmpl w:val="65B2C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6716A5"/>
    <w:multiLevelType w:val="hybridMultilevel"/>
    <w:tmpl w:val="E91093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817C3F"/>
    <w:multiLevelType w:val="hybridMultilevel"/>
    <w:tmpl w:val="039A6E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58678F6"/>
    <w:multiLevelType w:val="hybridMultilevel"/>
    <w:tmpl w:val="DD905662"/>
    <w:lvl w:ilvl="0" w:tplc="4F1C34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13"/>
  </w:num>
  <w:num w:numId="4">
    <w:abstractNumId w:val="12"/>
  </w:num>
  <w:num w:numId="5">
    <w:abstractNumId w:val="2"/>
  </w:num>
  <w:num w:numId="6">
    <w:abstractNumId w:val="17"/>
  </w:num>
  <w:num w:numId="7">
    <w:abstractNumId w:val="16"/>
  </w:num>
  <w:num w:numId="8">
    <w:abstractNumId w:val="7"/>
  </w:num>
  <w:num w:numId="9">
    <w:abstractNumId w:val="8"/>
  </w:num>
  <w:num w:numId="10">
    <w:abstractNumId w:val="6"/>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5"/>
  </w:num>
  <w:num w:numId="15">
    <w:abstractNumId w:val="1"/>
  </w:num>
  <w:num w:numId="16">
    <w:abstractNumId w:val="10"/>
  </w:num>
  <w:num w:numId="17">
    <w:abstractNumId w:val="0"/>
  </w:num>
  <w:num w:numId="18">
    <w:abstractNumId w:val="5"/>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oB6T3IefJRE1TdYwmdab8lXJJ2jQEmSH4r9RHYH/iDW2TDCB9Vx/pHYterNynvon6TIJerbPmKPkPWz3l5IScg==" w:salt="zV/eFcc7IEzTmHAWHQwM+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3BDBAB-BA19-45A2-AA6B-CC71DD47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2"/>
      <w:lang w:eastAsia="en-US"/>
    </w:rPr>
  </w:style>
  <w:style w:type="paragraph" w:styleId="berschrift1">
    <w:name w:val="heading 1"/>
    <w:aliases w:val="Maßnahme"/>
    <w:basedOn w:val="Standard"/>
    <w:next w:val="Standard"/>
    <w:link w:val="berschrift1Zchn"/>
    <w:autoRedefine/>
    <w:uiPriority w:val="9"/>
    <w:qFormat/>
    <w:pPr>
      <w:keepNext/>
      <w:spacing w:line="276" w:lineRule="auto"/>
      <w:outlineLvl w:val="0"/>
    </w:pPr>
    <w:rPr>
      <w:rFonts w:eastAsia="Times New Roman" w:cs="Arial"/>
      <w:b/>
      <w:bCs/>
      <w:sz w:val="24"/>
      <w:szCs w:val="24"/>
    </w:rPr>
  </w:style>
  <w:style w:type="paragraph" w:styleId="berschrift3">
    <w:name w:val="heading 3"/>
    <w:basedOn w:val="Standard"/>
    <w:next w:val="Standard"/>
    <w:link w:val="berschrift3Zchn"/>
    <w:autoRedefine/>
    <w:uiPriority w:val="9"/>
    <w:unhideWhenUsed/>
    <w:qFormat/>
    <w:pPr>
      <w:keepNext/>
      <w:tabs>
        <w:tab w:val="left" w:pos="993"/>
      </w:tabs>
      <w:outlineLvl w:val="2"/>
    </w:pPr>
    <w:rPr>
      <w:rFonts w:eastAsia="Times New Roman"/>
      <w:b/>
      <w:bCs/>
      <w:szCs w:val="26"/>
    </w:rPr>
  </w:style>
  <w:style w:type="paragraph" w:styleId="berschrift5">
    <w:name w:val="heading 5"/>
    <w:basedOn w:val="Standard"/>
    <w:next w:val="Standard"/>
    <w:link w:val="berschrift5Zchn"/>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08"/>
    </w:pPr>
  </w:style>
  <w:style w:type="paragraph" w:customStyle="1" w:styleId="GDO">
    <w:name w:val="GDO"/>
    <w:basedOn w:val="Standard"/>
    <w:qFormat/>
  </w:style>
  <w:style w:type="character" w:customStyle="1" w:styleId="berschrift1Zchn">
    <w:name w:val="Überschrift 1 Zchn"/>
    <w:aliases w:val="Maßnahme Zchn"/>
    <w:basedOn w:val="Absatz-Standardschriftart"/>
    <w:link w:val="berschrift1"/>
    <w:uiPriority w:val="9"/>
    <w:rPr>
      <w:rFonts w:ascii="Arial" w:eastAsia="Times New Roman" w:hAnsi="Arial" w:cs="Arial"/>
      <w:b/>
      <w:bCs/>
      <w:sz w:val="24"/>
      <w:szCs w:val="24"/>
      <w:lang w:eastAsia="en-US"/>
    </w:rPr>
  </w:style>
  <w:style w:type="character" w:customStyle="1" w:styleId="berschrift3Zchn">
    <w:name w:val="Überschrift 3 Zchn"/>
    <w:basedOn w:val="Absatz-Standardschriftart"/>
    <w:link w:val="berschrift3"/>
    <w:uiPriority w:val="9"/>
    <w:rPr>
      <w:rFonts w:ascii="Arial" w:eastAsia="Times New Roman" w:hAnsi="Arial"/>
      <w:b/>
      <w:bCs/>
      <w:sz w:val="22"/>
      <w:szCs w:val="26"/>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Punktaufzhlung">
    <w:name w:val="Punktaufzählung"/>
    <w:basedOn w:val="Standard"/>
    <w:pPr>
      <w:numPr>
        <w:numId w:val="1"/>
      </w:numPr>
      <w:jc w:val="both"/>
    </w:pPr>
    <w:rPr>
      <w:rFonts w:eastAsia="Times"/>
      <w:szCs w:val="20"/>
      <w:lang w:eastAsia="de-DE"/>
    </w:rPr>
  </w:style>
  <w:style w:type="character" w:styleId="Hyperlink">
    <w:name w:val="Hyperlink"/>
    <w:basedOn w:val="Absatz-Standardschriftart"/>
    <w:uiPriority w:val="99"/>
    <w:rPr>
      <w:strike w:val="0"/>
      <w:dstrike w:val="0"/>
      <w:color w:val="000080"/>
      <w:sz w:val="17"/>
      <w:szCs w:val="17"/>
      <w:u w:val="none"/>
      <w:effect w:val="none"/>
    </w:rPr>
  </w:style>
  <w:style w:type="paragraph" w:customStyle="1" w:styleId="VerzeichnisVertrag">
    <w:name w:val="Verzeichnis Vertrag"/>
    <w:basedOn w:val="Standard"/>
    <w:uiPriority w:val="99"/>
    <w:pPr>
      <w:tabs>
        <w:tab w:val="left" w:pos="567"/>
      </w:tabs>
      <w:spacing w:line="288" w:lineRule="auto"/>
      <w:jc w:val="both"/>
    </w:pPr>
    <w:rPr>
      <w:rFonts w:eastAsia="Times"/>
      <w:color w:val="000000"/>
      <w:szCs w:val="20"/>
      <w:lang w:eastAsia="de-DE"/>
    </w:rPr>
  </w:style>
  <w:style w:type="paragraph" w:styleId="Textkrper-Zeileneinzug">
    <w:name w:val="Body Text Indent"/>
    <w:basedOn w:val="Standard"/>
    <w:link w:val="Textkrper-ZeileneinzugZchn"/>
    <w:pPr>
      <w:ind w:left="284"/>
      <w:jc w:val="both"/>
    </w:pPr>
    <w:rPr>
      <w:rFonts w:eastAsia="Times"/>
      <w:szCs w:val="20"/>
      <w:lang w:eastAsia="de-DE"/>
    </w:rPr>
  </w:style>
  <w:style w:type="character" w:customStyle="1" w:styleId="Textkrper-ZeileneinzugZchn">
    <w:name w:val="Textkörper-Zeileneinzug Zchn"/>
    <w:basedOn w:val="Absatz-Standardschriftart"/>
    <w:link w:val="Textkrper-Zeileneinzug"/>
    <w:rPr>
      <w:rFonts w:ascii="Arial" w:eastAsia="Times" w:hAnsi="Arial"/>
      <w:sz w:val="22"/>
    </w:rPr>
  </w:style>
  <w:style w:type="paragraph" w:styleId="Verzeichnis1">
    <w:name w:val="toc 1"/>
    <w:basedOn w:val="Standard"/>
    <w:next w:val="Standard"/>
    <w:autoRedefine/>
    <w:uiPriority w:val="39"/>
    <w:qFormat/>
    <w:pPr>
      <w:tabs>
        <w:tab w:val="left" w:pos="880"/>
        <w:tab w:val="right" w:pos="9344"/>
      </w:tabs>
      <w:spacing w:before="360" w:after="240"/>
    </w:pPr>
    <w:rPr>
      <w:rFonts w:eastAsia="Times" w:cs="Arial"/>
      <w:b/>
      <w:bCs/>
      <w:caps/>
      <w:noProof/>
      <w:lang w:eastAsia="de-DE"/>
    </w:rPr>
  </w:style>
  <w:style w:type="paragraph" w:styleId="Verzeichnis3">
    <w:name w:val="toc 3"/>
    <w:basedOn w:val="Standard"/>
    <w:next w:val="Standard"/>
    <w:autoRedefine/>
    <w:uiPriority w:val="39"/>
    <w:qFormat/>
    <w:pPr>
      <w:tabs>
        <w:tab w:val="left" w:pos="880"/>
        <w:tab w:val="right" w:pos="9344"/>
      </w:tabs>
      <w:ind w:left="880" w:hanging="880"/>
    </w:pPr>
    <w:rPr>
      <w:rFonts w:eastAsia="Times" w:cs="Arial"/>
      <w:noProof/>
      <w:lang w:eastAsia="de-DE"/>
    </w:rPr>
  </w:style>
  <w:style w:type="paragraph" w:styleId="KeinLeerraum">
    <w:name w:val="No Spacing"/>
    <w:uiPriority w:val="1"/>
    <w:qFormat/>
    <w:rPr>
      <w:rFonts w:ascii="Calibri" w:hAnsi="Calibri"/>
      <w:sz w:val="22"/>
      <w:szCs w:val="22"/>
      <w:lang w:eastAsia="en-US"/>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sz w:val="22"/>
      <w:szCs w:val="22"/>
      <w:lang w:eastAsia="en-US"/>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character" w:customStyle="1" w:styleId="KommentartextZchn">
    <w:name w:val="Kommentartext Zchn"/>
    <w:basedOn w:val="Absatz-Standardschriftart"/>
    <w:link w:val="Kommentartext"/>
    <w:uiPriority w:val="99"/>
    <w:rPr>
      <w:rFonts w:ascii="Arial" w:eastAsia="Times" w:hAnsi="Arial"/>
    </w:rPr>
  </w:style>
  <w:style w:type="paragraph" w:styleId="Kommentartext">
    <w:name w:val="annotation text"/>
    <w:basedOn w:val="Standard"/>
    <w:link w:val="KommentartextZchn"/>
    <w:uiPriority w:val="99"/>
    <w:unhideWhenUsed/>
    <w:pPr>
      <w:jc w:val="both"/>
    </w:pPr>
    <w:rPr>
      <w:rFonts w:eastAsia="Times"/>
      <w:sz w:val="20"/>
      <w:szCs w:val="20"/>
      <w:lang w:eastAsia="de-DE"/>
    </w:rPr>
  </w:style>
  <w:style w:type="character" w:customStyle="1" w:styleId="KommentartextZchn1">
    <w:name w:val="Kommentartext Zchn1"/>
    <w:basedOn w:val="Absatz-Standardschriftart"/>
    <w:uiPriority w:val="99"/>
    <w:semiHidden/>
    <w:rPr>
      <w:rFonts w:ascii="Arial" w:hAnsi="Arial"/>
      <w:lang w:eastAsia="en-US"/>
    </w:rPr>
  </w:style>
  <w:style w:type="character" w:styleId="Kommentarzeichen">
    <w:name w:val="annotation reference"/>
    <w:basedOn w:val="Absatz-Standardschriftart"/>
    <w:uiPriority w:val="99"/>
    <w:semiHidden/>
    <w:unhideWhenUsed/>
    <w:rPr>
      <w:sz w:val="16"/>
      <w:szCs w:val="16"/>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365F91" w:themeColor="accent1" w:themeShade="BF"/>
      <w:sz w:val="22"/>
      <w:szCs w:val="22"/>
      <w:lang w:eastAsia="en-US"/>
    </w:rPr>
  </w:style>
  <w:style w:type="paragraph" w:styleId="Textkrper">
    <w:name w:val="Body Text"/>
    <w:basedOn w:val="Standard"/>
    <w:link w:val="TextkrperZchn"/>
    <w:uiPriority w:val="99"/>
    <w:semiHidden/>
    <w:unhideWhenUsed/>
    <w:pPr>
      <w:spacing w:after="120"/>
    </w:pPr>
  </w:style>
  <w:style w:type="character" w:customStyle="1" w:styleId="TextkrperZchn">
    <w:name w:val="Textkörper Zchn"/>
    <w:basedOn w:val="Absatz-Standardschriftart"/>
    <w:link w:val="Textkrper"/>
    <w:uiPriority w:val="99"/>
    <w:semiHidden/>
    <w:rPr>
      <w:rFonts w:ascii="Arial" w:hAnsi="Arial"/>
      <w:sz w:val="22"/>
      <w:szCs w:val="22"/>
      <w:lang w:eastAsia="en-US"/>
    </w:rPr>
  </w:style>
  <w:style w:type="character" w:styleId="Fett">
    <w:name w:val="Strong"/>
    <w:basedOn w:val="Absatz-Standardschriftart"/>
    <w:qFormat/>
    <w:rPr>
      <w:b/>
    </w:rPr>
  </w:style>
  <w:style w:type="paragraph" w:styleId="Kommentarthema">
    <w:name w:val="annotation subject"/>
    <w:basedOn w:val="Kommentartext"/>
    <w:next w:val="Kommentartext"/>
    <w:link w:val="KommentarthemaZchn"/>
    <w:uiPriority w:val="99"/>
    <w:semiHidden/>
    <w:unhideWhenUsed/>
    <w:pPr>
      <w:jc w:val="left"/>
    </w:pPr>
    <w:rPr>
      <w:rFonts w:eastAsia="Calibri"/>
      <w:b/>
      <w:bCs/>
      <w:lang w:eastAsia="en-US"/>
    </w:rPr>
  </w:style>
  <w:style w:type="character" w:customStyle="1" w:styleId="KommentarthemaZchn">
    <w:name w:val="Kommentarthema Zchn"/>
    <w:basedOn w:val="KommentartextZchn"/>
    <w:link w:val="Kommentarthema"/>
    <w:uiPriority w:val="99"/>
    <w:semiHidden/>
    <w:rPr>
      <w:rFonts w:ascii="Arial" w:eastAsia="Times" w:hAnsi="Arial"/>
      <w:b/>
      <w:bCs/>
      <w:lang w:eastAsia="en-US"/>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3823">
      <w:bodyDiv w:val="1"/>
      <w:marLeft w:val="0"/>
      <w:marRight w:val="0"/>
      <w:marTop w:val="0"/>
      <w:marBottom w:val="0"/>
      <w:divBdr>
        <w:top w:val="none" w:sz="0" w:space="0" w:color="auto"/>
        <w:left w:val="none" w:sz="0" w:space="0" w:color="auto"/>
        <w:bottom w:val="none" w:sz="0" w:space="0" w:color="auto"/>
        <w:right w:val="none" w:sz="0" w:space="0" w:color="auto"/>
      </w:divBdr>
    </w:div>
    <w:div w:id="190917655">
      <w:bodyDiv w:val="1"/>
      <w:marLeft w:val="0"/>
      <w:marRight w:val="0"/>
      <w:marTop w:val="0"/>
      <w:marBottom w:val="0"/>
      <w:divBdr>
        <w:top w:val="none" w:sz="0" w:space="0" w:color="auto"/>
        <w:left w:val="none" w:sz="0" w:space="0" w:color="auto"/>
        <w:bottom w:val="none" w:sz="0" w:space="0" w:color="auto"/>
        <w:right w:val="none" w:sz="0" w:space="0" w:color="auto"/>
      </w:divBdr>
    </w:div>
    <w:div w:id="223221241">
      <w:bodyDiv w:val="1"/>
      <w:marLeft w:val="0"/>
      <w:marRight w:val="0"/>
      <w:marTop w:val="0"/>
      <w:marBottom w:val="0"/>
      <w:divBdr>
        <w:top w:val="none" w:sz="0" w:space="0" w:color="auto"/>
        <w:left w:val="none" w:sz="0" w:space="0" w:color="auto"/>
        <w:bottom w:val="none" w:sz="0" w:space="0" w:color="auto"/>
        <w:right w:val="none" w:sz="0" w:space="0" w:color="auto"/>
      </w:divBdr>
    </w:div>
    <w:div w:id="577977425">
      <w:bodyDiv w:val="1"/>
      <w:marLeft w:val="0"/>
      <w:marRight w:val="0"/>
      <w:marTop w:val="0"/>
      <w:marBottom w:val="0"/>
      <w:divBdr>
        <w:top w:val="none" w:sz="0" w:space="0" w:color="auto"/>
        <w:left w:val="none" w:sz="0" w:space="0" w:color="auto"/>
        <w:bottom w:val="none" w:sz="0" w:space="0" w:color="auto"/>
        <w:right w:val="none" w:sz="0" w:space="0" w:color="auto"/>
      </w:divBdr>
    </w:div>
    <w:div w:id="1172258657">
      <w:bodyDiv w:val="1"/>
      <w:marLeft w:val="0"/>
      <w:marRight w:val="0"/>
      <w:marTop w:val="0"/>
      <w:marBottom w:val="0"/>
      <w:divBdr>
        <w:top w:val="none" w:sz="0" w:space="0" w:color="auto"/>
        <w:left w:val="none" w:sz="0" w:space="0" w:color="auto"/>
        <w:bottom w:val="none" w:sz="0" w:space="0" w:color="auto"/>
        <w:right w:val="none" w:sz="0" w:space="0" w:color="auto"/>
      </w:divBdr>
    </w:div>
    <w:div w:id="200403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gabe.nrw.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KRheinland@bezreg-koeln.nrw.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q-verein.de/" TargetMode="External"/><Relationship Id="rId4" Type="http://schemas.openxmlformats.org/officeDocument/2006/relationships/settings" Target="settings.xml"/><Relationship Id="rId9" Type="http://schemas.openxmlformats.org/officeDocument/2006/relationships/hyperlink" Target="https://support.cosinex.de/unternehm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B46A5-2B94-49EE-A755-FBBF0EF5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4352</Words>
  <Characters>27424</Characters>
  <Application>Microsoft Office Word</Application>
  <DocSecurity>8</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31713</CharactersWithSpaces>
  <SharedDoc>false</SharedDoc>
  <HLinks>
    <vt:vector size="126" baseType="variant">
      <vt:variant>
        <vt:i4>1835058</vt:i4>
      </vt:variant>
      <vt:variant>
        <vt:i4>122</vt:i4>
      </vt:variant>
      <vt:variant>
        <vt:i4>0</vt:i4>
      </vt:variant>
      <vt:variant>
        <vt:i4>5</vt:i4>
      </vt:variant>
      <vt:variant>
        <vt:lpwstr/>
      </vt:variant>
      <vt:variant>
        <vt:lpwstr>_Toc466279769</vt:lpwstr>
      </vt:variant>
      <vt:variant>
        <vt:i4>1835058</vt:i4>
      </vt:variant>
      <vt:variant>
        <vt:i4>116</vt:i4>
      </vt:variant>
      <vt:variant>
        <vt:i4>0</vt:i4>
      </vt:variant>
      <vt:variant>
        <vt:i4>5</vt:i4>
      </vt:variant>
      <vt:variant>
        <vt:lpwstr/>
      </vt:variant>
      <vt:variant>
        <vt:lpwstr>_Toc466279768</vt:lpwstr>
      </vt:variant>
      <vt:variant>
        <vt:i4>1835058</vt:i4>
      </vt:variant>
      <vt:variant>
        <vt:i4>110</vt:i4>
      </vt:variant>
      <vt:variant>
        <vt:i4>0</vt:i4>
      </vt:variant>
      <vt:variant>
        <vt:i4>5</vt:i4>
      </vt:variant>
      <vt:variant>
        <vt:lpwstr/>
      </vt:variant>
      <vt:variant>
        <vt:lpwstr>_Toc466279767</vt:lpwstr>
      </vt:variant>
      <vt:variant>
        <vt:i4>1835058</vt:i4>
      </vt:variant>
      <vt:variant>
        <vt:i4>104</vt:i4>
      </vt:variant>
      <vt:variant>
        <vt:i4>0</vt:i4>
      </vt:variant>
      <vt:variant>
        <vt:i4>5</vt:i4>
      </vt:variant>
      <vt:variant>
        <vt:lpwstr/>
      </vt:variant>
      <vt:variant>
        <vt:lpwstr>_Toc466279766</vt:lpwstr>
      </vt:variant>
      <vt:variant>
        <vt:i4>1835058</vt:i4>
      </vt:variant>
      <vt:variant>
        <vt:i4>98</vt:i4>
      </vt:variant>
      <vt:variant>
        <vt:i4>0</vt:i4>
      </vt:variant>
      <vt:variant>
        <vt:i4>5</vt:i4>
      </vt:variant>
      <vt:variant>
        <vt:lpwstr/>
      </vt:variant>
      <vt:variant>
        <vt:lpwstr>_Toc466279765</vt:lpwstr>
      </vt:variant>
      <vt:variant>
        <vt:i4>1835058</vt:i4>
      </vt:variant>
      <vt:variant>
        <vt:i4>92</vt:i4>
      </vt:variant>
      <vt:variant>
        <vt:i4>0</vt:i4>
      </vt:variant>
      <vt:variant>
        <vt:i4>5</vt:i4>
      </vt:variant>
      <vt:variant>
        <vt:lpwstr/>
      </vt:variant>
      <vt:variant>
        <vt:lpwstr>_Toc466279764</vt:lpwstr>
      </vt:variant>
      <vt:variant>
        <vt:i4>1835058</vt:i4>
      </vt:variant>
      <vt:variant>
        <vt:i4>86</vt:i4>
      </vt:variant>
      <vt:variant>
        <vt:i4>0</vt:i4>
      </vt:variant>
      <vt:variant>
        <vt:i4>5</vt:i4>
      </vt:variant>
      <vt:variant>
        <vt:lpwstr/>
      </vt:variant>
      <vt:variant>
        <vt:lpwstr>_Toc466279763</vt:lpwstr>
      </vt:variant>
      <vt:variant>
        <vt:i4>1835058</vt:i4>
      </vt:variant>
      <vt:variant>
        <vt:i4>80</vt:i4>
      </vt:variant>
      <vt:variant>
        <vt:i4>0</vt:i4>
      </vt:variant>
      <vt:variant>
        <vt:i4>5</vt:i4>
      </vt:variant>
      <vt:variant>
        <vt:lpwstr/>
      </vt:variant>
      <vt:variant>
        <vt:lpwstr>_Toc466279762</vt:lpwstr>
      </vt:variant>
      <vt:variant>
        <vt:i4>1835058</vt:i4>
      </vt:variant>
      <vt:variant>
        <vt:i4>74</vt:i4>
      </vt:variant>
      <vt:variant>
        <vt:i4>0</vt:i4>
      </vt:variant>
      <vt:variant>
        <vt:i4>5</vt:i4>
      </vt:variant>
      <vt:variant>
        <vt:lpwstr/>
      </vt:variant>
      <vt:variant>
        <vt:lpwstr>_Toc466279761</vt:lpwstr>
      </vt:variant>
      <vt:variant>
        <vt:i4>1835058</vt:i4>
      </vt:variant>
      <vt:variant>
        <vt:i4>68</vt:i4>
      </vt:variant>
      <vt:variant>
        <vt:i4>0</vt:i4>
      </vt:variant>
      <vt:variant>
        <vt:i4>5</vt:i4>
      </vt:variant>
      <vt:variant>
        <vt:lpwstr/>
      </vt:variant>
      <vt:variant>
        <vt:lpwstr>_Toc466279760</vt:lpwstr>
      </vt:variant>
      <vt:variant>
        <vt:i4>2031666</vt:i4>
      </vt:variant>
      <vt:variant>
        <vt:i4>62</vt:i4>
      </vt:variant>
      <vt:variant>
        <vt:i4>0</vt:i4>
      </vt:variant>
      <vt:variant>
        <vt:i4>5</vt:i4>
      </vt:variant>
      <vt:variant>
        <vt:lpwstr/>
      </vt:variant>
      <vt:variant>
        <vt:lpwstr>_Toc466279759</vt:lpwstr>
      </vt:variant>
      <vt:variant>
        <vt:i4>2031666</vt:i4>
      </vt:variant>
      <vt:variant>
        <vt:i4>56</vt:i4>
      </vt:variant>
      <vt:variant>
        <vt:i4>0</vt:i4>
      </vt:variant>
      <vt:variant>
        <vt:i4>5</vt:i4>
      </vt:variant>
      <vt:variant>
        <vt:lpwstr/>
      </vt:variant>
      <vt:variant>
        <vt:lpwstr>_Toc466279758</vt:lpwstr>
      </vt:variant>
      <vt:variant>
        <vt:i4>2031666</vt:i4>
      </vt:variant>
      <vt:variant>
        <vt:i4>50</vt:i4>
      </vt:variant>
      <vt:variant>
        <vt:i4>0</vt:i4>
      </vt:variant>
      <vt:variant>
        <vt:i4>5</vt:i4>
      </vt:variant>
      <vt:variant>
        <vt:lpwstr/>
      </vt:variant>
      <vt:variant>
        <vt:lpwstr>_Toc466279757</vt:lpwstr>
      </vt:variant>
      <vt:variant>
        <vt:i4>2031666</vt:i4>
      </vt:variant>
      <vt:variant>
        <vt:i4>44</vt:i4>
      </vt:variant>
      <vt:variant>
        <vt:i4>0</vt:i4>
      </vt:variant>
      <vt:variant>
        <vt:i4>5</vt:i4>
      </vt:variant>
      <vt:variant>
        <vt:lpwstr/>
      </vt:variant>
      <vt:variant>
        <vt:lpwstr>_Toc466279756</vt:lpwstr>
      </vt:variant>
      <vt:variant>
        <vt:i4>2031666</vt:i4>
      </vt:variant>
      <vt:variant>
        <vt:i4>38</vt:i4>
      </vt:variant>
      <vt:variant>
        <vt:i4>0</vt:i4>
      </vt:variant>
      <vt:variant>
        <vt:i4>5</vt:i4>
      </vt:variant>
      <vt:variant>
        <vt:lpwstr/>
      </vt:variant>
      <vt:variant>
        <vt:lpwstr>_Toc466279755</vt:lpwstr>
      </vt:variant>
      <vt:variant>
        <vt:i4>2031666</vt:i4>
      </vt:variant>
      <vt:variant>
        <vt:i4>32</vt:i4>
      </vt:variant>
      <vt:variant>
        <vt:i4>0</vt:i4>
      </vt:variant>
      <vt:variant>
        <vt:i4>5</vt:i4>
      </vt:variant>
      <vt:variant>
        <vt:lpwstr/>
      </vt:variant>
      <vt:variant>
        <vt:lpwstr>_Toc466279754</vt:lpwstr>
      </vt:variant>
      <vt:variant>
        <vt:i4>2031666</vt:i4>
      </vt:variant>
      <vt:variant>
        <vt:i4>26</vt:i4>
      </vt:variant>
      <vt:variant>
        <vt:i4>0</vt:i4>
      </vt:variant>
      <vt:variant>
        <vt:i4>5</vt:i4>
      </vt:variant>
      <vt:variant>
        <vt:lpwstr/>
      </vt:variant>
      <vt:variant>
        <vt:lpwstr>_Toc466279753</vt:lpwstr>
      </vt:variant>
      <vt:variant>
        <vt:i4>2031666</vt:i4>
      </vt:variant>
      <vt:variant>
        <vt:i4>20</vt:i4>
      </vt:variant>
      <vt:variant>
        <vt:i4>0</vt:i4>
      </vt:variant>
      <vt:variant>
        <vt:i4>5</vt:i4>
      </vt:variant>
      <vt:variant>
        <vt:lpwstr/>
      </vt:variant>
      <vt:variant>
        <vt:lpwstr>_Toc466279752</vt:lpwstr>
      </vt:variant>
      <vt:variant>
        <vt:i4>2031666</vt:i4>
      </vt:variant>
      <vt:variant>
        <vt:i4>14</vt:i4>
      </vt:variant>
      <vt:variant>
        <vt:i4>0</vt:i4>
      </vt:variant>
      <vt:variant>
        <vt:i4>5</vt:i4>
      </vt:variant>
      <vt:variant>
        <vt:lpwstr/>
      </vt:variant>
      <vt:variant>
        <vt:lpwstr>_Toc466279751</vt:lpwstr>
      </vt:variant>
      <vt:variant>
        <vt:i4>2031666</vt:i4>
      </vt:variant>
      <vt:variant>
        <vt:i4>8</vt:i4>
      </vt:variant>
      <vt:variant>
        <vt:i4>0</vt:i4>
      </vt:variant>
      <vt:variant>
        <vt:i4>5</vt:i4>
      </vt:variant>
      <vt:variant>
        <vt:lpwstr/>
      </vt:variant>
      <vt:variant>
        <vt:lpwstr>_Toc466279750</vt:lpwstr>
      </vt:variant>
      <vt:variant>
        <vt:i4>1966130</vt:i4>
      </vt:variant>
      <vt:variant>
        <vt:i4>2</vt:i4>
      </vt:variant>
      <vt:variant>
        <vt:i4>0</vt:i4>
      </vt:variant>
      <vt:variant>
        <vt:i4>5</vt:i4>
      </vt:variant>
      <vt:variant>
        <vt:lpwstr/>
      </vt:variant>
      <vt:variant>
        <vt:lpwstr>_Toc466279749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Diercks-Oppler</dc:creator>
  <cp:lastModifiedBy>Knop Sabine</cp:lastModifiedBy>
  <cp:revision>47</cp:revision>
  <cp:lastPrinted>2025-04-23T10:12:00Z</cp:lastPrinted>
  <dcterms:created xsi:type="dcterms:W3CDTF">2025-04-23T09:28:00Z</dcterms:created>
  <dcterms:modified xsi:type="dcterms:W3CDTF">2026-01-29T13:42:00Z</dcterms:modified>
</cp:coreProperties>
</file>