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12"/>
        <w:tblW w:w="9356" w:type="dxa"/>
        <w:tblLayout w:type="fixed"/>
        <w:tblCellMar>
          <w:left w:w="0" w:type="dxa"/>
          <w:right w:w="0" w:type="dxa"/>
        </w:tblCellMar>
        <w:tblLook w:val="00A0" w:firstRow="1" w:lastRow="0" w:firstColumn="1" w:lastColumn="0" w:noHBand="0" w:noVBand="0"/>
      </w:tblPr>
      <w:tblGrid>
        <w:gridCol w:w="5103"/>
        <w:gridCol w:w="142"/>
        <w:gridCol w:w="4111"/>
      </w:tblGrid>
      <w:tr w:rsidR="004A4C7F" w14:paraId="0768319F" w14:textId="77777777" w:rsidTr="0073501A">
        <w:trPr>
          <w:gridAfter w:val="2"/>
          <w:wAfter w:w="4253" w:type="dxa"/>
          <w:trHeight w:val="1556"/>
        </w:trPr>
        <w:tc>
          <w:tcPr>
            <w:tcW w:w="5103" w:type="dxa"/>
            <w:vMerge w:val="restart"/>
            <w:tcBorders>
              <w:top w:val="single" w:sz="4" w:space="0" w:color="auto"/>
            </w:tcBorders>
            <w:noWrap/>
          </w:tcPr>
          <w:p w14:paraId="7534D8A5" w14:textId="6B617000" w:rsidR="004A4C7F" w:rsidRDefault="009F4A4F">
            <w:pPr>
              <w:jc w:val="left"/>
              <w:rPr>
                <w:b/>
                <w:sz w:val="32"/>
              </w:rPr>
            </w:pPr>
            <w:bookmarkStart w:id="0" w:name="_Hlk90374278"/>
            <w:bookmarkStart w:id="1" w:name="_Toc81236463"/>
            <w:r>
              <w:rPr>
                <w:b/>
                <w:sz w:val="32"/>
              </w:rPr>
              <w:t>Informationsunterlage</w:t>
            </w:r>
            <w:r w:rsidR="0073501A">
              <w:rPr>
                <w:b/>
                <w:sz w:val="32"/>
              </w:rPr>
              <w:t xml:space="preserve"> - TNW</w:t>
            </w:r>
          </w:p>
        </w:tc>
      </w:tr>
      <w:tr w:rsidR="004A4C7F" w14:paraId="394C3E53" w14:textId="77777777">
        <w:trPr>
          <w:trHeight w:val="510"/>
        </w:trPr>
        <w:tc>
          <w:tcPr>
            <w:tcW w:w="5103" w:type="dxa"/>
            <w:vMerge w:val="restart"/>
            <w:tcBorders>
              <w:top w:val="single" w:sz="4" w:space="0" w:color="auto"/>
            </w:tcBorders>
            <w:noWrap/>
          </w:tcPr>
          <w:p w14:paraId="43446805" w14:textId="77777777" w:rsidR="004A4C7F" w:rsidRDefault="004A4C7F">
            <w:pPr>
              <w:spacing w:before="0" w:after="0"/>
            </w:pPr>
          </w:p>
        </w:tc>
        <w:tc>
          <w:tcPr>
            <w:tcW w:w="142" w:type="dxa"/>
            <w:tcBorders>
              <w:top w:val="none" w:sz="4" w:space="0" w:color="000000"/>
            </w:tcBorders>
          </w:tcPr>
          <w:p w14:paraId="325757B1" w14:textId="77777777" w:rsidR="004A4C7F" w:rsidRDefault="004A4C7F"/>
        </w:tc>
        <w:tc>
          <w:tcPr>
            <w:tcW w:w="4111" w:type="dxa"/>
            <w:tcBorders>
              <w:top w:val="none" w:sz="4" w:space="0" w:color="000000"/>
              <w:bottom w:val="none" w:sz="4" w:space="0" w:color="000000"/>
            </w:tcBorders>
          </w:tcPr>
          <w:p w14:paraId="5BCBECE7" w14:textId="77777777" w:rsidR="004A4C7F" w:rsidRDefault="004A4C7F">
            <w:pPr>
              <w:rPr>
                <w:b/>
              </w:rPr>
            </w:pPr>
          </w:p>
        </w:tc>
      </w:tr>
      <w:tr w:rsidR="004A4C7F" w14:paraId="40343D1C" w14:textId="77777777">
        <w:trPr>
          <w:trHeight w:val="510"/>
        </w:trPr>
        <w:tc>
          <w:tcPr>
            <w:tcW w:w="5103" w:type="dxa"/>
            <w:vMerge/>
            <w:tcBorders>
              <w:top w:val="none" w:sz="4" w:space="0" w:color="000000"/>
            </w:tcBorders>
            <w:noWrap/>
          </w:tcPr>
          <w:p w14:paraId="3CFFB8EA" w14:textId="77777777" w:rsidR="004A4C7F" w:rsidRDefault="004A4C7F"/>
        </w:tc>
        <w:tc>
          <w:tcPr>
            <w:tcW w:w="142" w:type="dxa"/>
            <w:tcBorders>
              <w:top w:val="none" w:sz="4" w:space="0" w:color="000000"/>
            </w:tcBorders>
          </w:tcPr>
          <w:p w14:paraId="3965BCC7" w14:textId="77777777" w:rsidR="004A4C7F" w:rsidRDefault="004A4C7F"/>
        </w:tc>
        <w:tc>
          <w:tcPr>
            <w:tcW w:w="4111" w:type="dxa"/>
            <w:tcBorders>
              <w:top w:val="none" w:sz="4" w:space="0" w:color="000000"/>
              <w:bottom w:val="none" w:sz="4" w:space="0" w:color="000000"/>
            </w:tcBorders>
          </w:tcPr>
          <w:p w14:paraId="0F07FAFC" w14:textId="77777777" w:rsidR="004A4C7F" w:rsidRDefault="004A4C7F">
            <w:pPr>
              <w:rPr>
                <w:b/>
              </w:rPr>
            </w:pPr>
          </w:p>
        </w:tc>
      </w:tr>
      <w:bookmarkEnd w:id="0"/>
    </w:tbl>
    <w:p w14:paraId="2F19316A" w14:textId="77777777" w:rsidR="004A4C7F" w:rsidRDefault="004A4C7F"/>
    <w:tbl>
      <w:tblPr>
        <w:tblpPr w:leftFromText="141" w:rightFromText="141" w:vertAnchor="text" w:horzAnchor="margin" w:tblpY="12"/>
        <w:tblW w:w="9356" w:type="dxa"/>
        <w:tblBorders>
          <w:top w:val="single" w:sz="4" w:space="0" w:color="000000"/>
          <w:bottom w:val="single" w:sz="4" w:space="0" w:color="auto"/>
        </w:tblBorders>
        <w:tblLayout w:type="fixed"/>
        <w:tblCellMar>
          <w:left w:w="0" w:type="dxa"/>
          <w:right w:w="0" w:type="dxa"/>
        </w:tblCellMar>
        <w:tblLook w:val="00A0" w:firstRow="1" w:lastRow="0" w:firstColumn="1" w:lastColumn="0" w:noHBand="0" w:noVBand="0"/>
      </w:tblPr>
      <w:tblGrid>
        <w:gridCol w:w="2410"/>
        <w:gridCol w:w="6946"/>
      </w:tblGrid>
      <w:tr w:rsidR="004A4C7F" w14:paraId="2A3F9301" w14:textId="77777777" w:rsidTr="0073501A">
        <w:trPr>
          <w:trHeight w:val="132"/>
        </w:trPr>
        <w:tc>
          <w:tcPr>
            <w:tcW w:w="2410" w:type="dxa"/>
            <w:tcBorders>
              <w:top w:val="single" w:sz="4" w:space="0" w:color="000000"/>
            </w:tcBorders>
            <w:noWrap/>
          </w:tcPr>
          <w:p w14:paraId="74898BF7" w14:textId="77777777" w:rsidR="004A4C7F" w:rsidRDefault="009F4A4F">
            <w:pPr>
              <w:spacing w:before="0" w:after="0"/>
              <w:rPr>
                <w:rFonts w:cs="Calibri"/>
                <w:b/>
              </w:rPr>
            </w:pPr>
            <w:r>
              <w:rPr>
                <w:b/>
              </w:rPr>
              <w:t>Bauvorhaben:</w:t>
            </w:r>
          </w:p>
        </w:tc>
        <w:tc>
          <w:tcPr>
            <w:tcW w:w="6946" w:type="dxa"/>
            <w:tcBorders>
              <w:top w:val="single" w:sz="4" w:space="0" w:color="000000"/>
            </w:tcBorders>
            <w:noWrap/>
          </w:tcPr>
          <w:p w14:paraId="5BCB887A" w14:textId="2630E799" w:rsidR="004A4C7F" w:rsidRDefault="0073501A">
            <w:pPr>
              <w:spacing w:before="0" w:after="0"/>
              <w:rPr>
                <w:rFonts w:cs="Calibri"/>
              </w:rPr>
            </w:pPr>
            <w:r>
              <w:rPr>
                <w:rFonts w:cs="Times New Roman"/>
              </w:rPr>
              <w:t>Infrastrukturoptimierung Münster und Telgte</w:t>
            </w:r>
          </w:p>
        </w:tc>
      </w:tr>
      <w:tr w:rsidR="004A4C7F" w14:paraId="1E52EE54" w14:textId="77777777">
        <w:tc>
          <w:tcPr>
            <w:tcW w:w="2410" w:type="dxa"/>
            <w:noWrap/>
          </w:tcPr>
          <w:p w14:paraId="63F7494E" w14:textId="77777777" w:rsidR="004A4C7F" w:rsidRDefault="009F4A4F">
            <w:pPr>
              <w:spacing w:before="0" w:after="0"/>
              <w:rPr>
                <w:rFonts w:cs="Calibri"/>
                <w:b/>
              </w:rPr>
            </w:pPr>
            <w:r>
              <w:rPr>
                <w:b/>
              </w:rPr>
              <w:t>Leistung:</w:t>
            </w:r>
          </w:p>
        </w:tc>
        <w:tc>
          <w:tcPr>
            <w:tcW w:w="6946" w:type="dxa"/>
            <w:noWrap/>
          </w:tcPr>
          <w:p w14:paraId="20C41B2A" w14:textId="04100F07" w:rsidR="004A4C7F" w:rsidRDefault="009F4A4F">
            <w:pPr>
              <w:spacing w:before="0" w:after="0"/>
              <w:rPr>
                <w:rFonts w:cs="Calibri"/>
              </w:rPr>
            </w:pPr>
            <w:r>
              <w:t xml:space="preserve">Planungsleistungen – </w:t>
            </w:r>
            <w:r w:rsidR="0073501A">
              <w:t>Fachplanung Technische Gebäudeausrüstung</w:t>
            </w:r>
          </w:p>
        </w:tc>
      </w:tr>
      <w:tr w:rsidR="004A4C7F" w14:paraId="1B26687A" w14:textId="77777777">
        <w:trPr>
          <w:trHeight w:val="284"/>
        </w:trPr>
        <w:tc>
          <w:tcPr>
            <w:tcW w:w="2410" w:type="dxa"/>
            <w:noWrap/>
          </w:tcPr>
          <w:p w14:paraId="6E8DDEB6" w14:textId="77777777" w:rsidR="004A4C7F" w:rsidRDefault="009F4A4F">
            <w:pPr>
              <w:spacing w:before="0" w:after="0"/>
              <w:rPr>
                <w:rFonts w:cs="Calibri"/>
                <w:b/>
              </w:rPr>
            </w:pPr>
            <w:r>
              <w:rPr>
                <w:b/>
              </w:rPr>
              <w:t>Ausschreibungsart:</w:t>
            </w:r>
          </w:p>
        </w:tc>
        <w:tc>
          <w:tcPr>
            <w:tcW w:w="6946" w:type="dxa"/>
            <w:noWrap/>
          </w:tcPr>
          <w:p w14:paraId="53A5CFEC" w14:textId="77777777" w:rsidR="004A4C7F" w:rsidRDefault="009F4A4F">
            <w:pPr>
              <w:spacing w:before="0" w:after="0"/>
            </w:pPr>
            <w:r>
              <w:t>VgV – Verhandlungsverfahren mit Teilnahmewettbewerb</w:t>
            </w:r>
          </w:p>
        </w:tc>
      </w:tr>
      <w:tr w:rsidR="004A4C7F" w14:paraId="400062CB" w14:textId="77777777">
        <w:trPr>
          <w:trHeight w:val="284"/>
        </w:trPr>
        <w:tc>
          <w:tcPr>
            <w:tcW w:w="2410" w:type="dxa"/>
            <w:noWrap/>
          </w:tcPr>
          <w:p w14:paraId="2B82DEB2" w14:textId="77777777" w:rsidR="004A4C7F" w:rsidRDefault="009F4A4F">
            <w:pPr>
              <w:spacing w:before="0" w:after="0"/>
              <w:rPr>
                <w:rFonts w:cs="Calibri"/>
                <w:b/>
              </w:rPr>
            </w:pPr>
            <w:r>
              <w:rPr>
                <w:b/>
              </w:rPr>
              <w:t>Vergabenummer:</w:t>
            </w:r>
          </w:p>
        </w:tc>
        <w:tc>
          <w:tcPr>
            <w:tcW w:w="6946" w:type="dxa"/>
            <w:noWrap/>
          </w:tcPr>
          <w:p w14:paraId="56A62C5A" w14:textId="0546BF84" w:rsidR="004A4C7F" w:rsidRDefault="0073501A">
            <w:pPr>
              <w:spacing w:before="0" w:after="0"/>
              <w:rPr>
                <w:highlight w:val="yellow"/>
              </w:rPr>
            </w:pPr>
            <w:r w:rsidRPr="0073501A">
              <w:rPr>
                <w:rFonts w:cs="Calibri"/>
              </w:rPr>
              <w:t>2025_218 71200</w:t>
            </w:r>
          </w:p>
        </w:tc>
      </w:tr>
    </w:tbl>
    <w:p w14:paraId="69DAE760" w14:textId="77777777" w:rsidR="004A4C7F" w:rsidRDefault="004A4C7F">
      <w:pPr>
        <w:rPr>
          <w:lang w:val="en-US"/>
        </w:rPr>
      </w:pPr>
    </w:p>
    <w:p w14:paraId="0DEB41B8" w14:textId="77777777" w:rsidR="004A4C7F" w:rsidRDefault="009F4A4F">
      <w:pPr>
        <w:pStyle w:val="berschrift1"/>
      </w:pPr>
      <w:r>
        <w:t>Auftraggeber</w:t>
      </w:r>
      <w:bookmarkEnd w:id="1"/>
    </w:p>
    <w:p w14:paraId="10AE4925" w14:textId="1AFD21D2" w:rsidR="004A4C7F" w:rsidRDefault="0073501A" w:rsidP="0065738B">
      <w:pPr>
        <w:spacing w:line="276" w:lineRule="auto"/>
        <w:ind w:left="885" w:hanging="885"/>
        <w:rPr>
          <w:rFonts w:asciiTheme="minorHAnsi" w:hAnsiTheme="minorHAnsi"/>
        </w:rPr>
      </w:pPr>
      <w:bookmarkStart w:id="2" w:name="_Toc81236464"/>
      <w:r>
        <w:rPr>
          <w:rFonts w:asciiTheme="minorHAnsi" w:hAnsiTheme="minorHAnsi"/>
        </w:rPr>
        <w:t>Institut der Feuerwehr</w:t>
      </w:r>
    </w:p>
    <w:p w14:paraId="1DF7FC0C" w14:textId="25DFEFBE" w:rsidR="0073501A" w:rsidRDefault="0073501A" w:rsidP="0065738B">
      <w:pPr>
        <w:spacing w:line="276" w:lineRule="auto"/>
        <w:ind w:left="885" w:hanging="885"/>
        <w:rPr>
          <w:rFonts w:asciiTheme="minorHAnsi" w:hAnsiTheme="minorHAnsi"/>
        </w:rPr>
      </w:pPr>
      <w:r>
        <w:rPr>
          <w:rFonts w:asciiTheme="minorHAnsi" w:hAnsiTheme="minorHAnsi"/>
        </w:rPr>
        <w:t>Wolbecker Straße 237</w:t>
      </w:r>
    </w:p>
    <w:p w14:paraId="10593294" w14:textId="70D4A8E5" w:rsidR="0073501A" w:rsidRDefault="0073501A" w:rsidP="0065738B">
      <w:pPr>
        <w:spacing w:line="276" w:lineRule="auto"/>
        <w:ind w:left="885" w:hanging="885"/>
        <w:rPr>
          <w:rFonts w:asciiTheme="minorHAnsi" w:hAnsiTheme="minorHAnsi"/>
        </w:rPr>
      </w:pPr>
      <w:r>
        <w:rPr>
          <w:rFonts w:asciiTheme="minorHAnsi" w:hAnsiTheme="minorHAnsi"/>
        </w:rPr>
        <w:t>48155 Münster</w:t>
      </w:r>
    </w:p>
    <w:p w14:paraId="0938CDF6" w14:textId="77777777" w:rsidR="004A4C7F" w:rsidRDefault="009F4A4F">
      <w:pPr>
        <w:pStyle w:val="berschrift1"/>
      </w:pPr>
      <w:r>
        <w:t>Verfahrensunterlagen und personenbezogene Angaben</w:t>
      </w:r>
      <w:bookmarkEnd w:id="2"/>
    </w:p>
    <w:p w14:paraId="63420EB6" w14:textId="25DC3A07" w:rsidR="004A4C7F" w:rsidRDefault="009F4A4F" w:rsidP="0065738B">
      <w:pPr>
        <w:spacing w:line="276" w:lineRule="auto"/>
      </w:pPr>
      <w:r>
        <w:t>Für den Teilnahmewettbewerb sind (sofern nicht ausdrücklich Ausnahmen zugelassen wurden) ausschließlich die vom Auftraggeber gestellten Unterlagen (Musterformular</w:t>
      </w:r>
      <w:r w:rsidR="0073501A">
        <w:t>e und Formblätter</w:t>
      </w:r>
      <w:r>
        <w:t xml:space="preserve">) zu verwenden. Soweit keine Muster bestehen, hat der Bewerber diese selbst zu erstellen. </w:t>
      </w:r>
    </w:p>
    <w:p w14:paraId="783B4CBB" w14:textId="77777777" w:rsidR="004A4C7F" w:rsidRDefault="009F4A4F" w:rsidP="0065738B">
      <w:pPr>
        <w:spacing w:line="276" w:lineRule="auto"/>
      </w:pPr>
      <w:r>
        <w:t xml:space="preserve">Die Bewerbungsunterlagen verbleiben bei der Vergabestelle und werden nicht zurückgegeben. </w:t>
      </w:r>
    </w:p>
    <w:p w14:paraId="15FBA25D" w14:textId="77777777" w:rsidR="004A4C7F" w:rsidRDefault="009F4A4F" w:rsidP="0065738B">
      <w:pPr>
        <w:spacing w:line="276" w:lineRule="auto"/>
      </w:pPr>
      <w:r>
        <w:t>Soweit diese nicht allgemein bekannt sind, haben die Bewerber die im Zusammenhang mit dem Vergabeverfahren überlassenen Unterlagen und die darin enthaltenen Informationen vertraulich zu behandeln und dürfen diese nur zur Bearbeitung ihrer Teilnahmeanträge verwenden.</w:t>
      </w:r>
    </w:p>
    <w:p w14:paraId="71908A25" w14:textId="77777777" w:rsidR="004A4C7F" w:rsidRDefault="009F4A4F" w:rsidP="0065738B">
      <w:pPr>
        <w:spacing w:line="276" w:lineRule="auto"/>
      </w:pPr>
      <w:r>
        <w:t>Die von den Bewerbern erbetenen personenbezogenen Angaben werden im Rahmen des Vergabeverfahrens verarbeitet und gespeichert.</w:t>
      </w:r>
    </w:p>
    <w:p w14:paraId="5110AEC4" w14:textId="77777777" w:rsidR="004A4C7F" w:rsidRDefault="009F4A4F">
      <w:pPr>
        <w:pStyle w:val="berschrift1"/>
      </w:pPr>
      <w:bookmarkStart w:id="3" w:name="_Toc81236465"/>
      <w:r>
        <w:t>Bewerberfragen</w:t>
      </w:r>
      <w:bookmarkEnd w:id="3"/>
    </w:p>
    <w:p w14:paraId="080D82D4" w14:textId="77777777" w:rsidR="004A4C7F" w:rsidRDefault="009F4A4F">
      <w:pPr>
        <w:spacing w:line="276" w:lineRule="auto"/>
      </w:pPr>
      <w:r>
        <w:t xml:space="preserve">Der Auftraggeber wird rechtzeitig angeforderte, zusätzliche Auskünfte über die Aufgaben/Unterlagen </w:t>
      </w:r>
      <w:r>
        <w:rPr>
          <w:u w:val="single"/>
        </w:rPr>
        <w:t>spätestens sechs Tage vor Ablauf der Bewerbungsfrist</w:t>
      </w:r>
      <w:r>
        <w:t xml:space="preserve"> erteilen.</w:t>
      </w:r>
    </w:p>
    <w:p w14:paraId="0960A888" w14:textId="77777777" w:rsidR="004A4C7F" w:rsidRDefault="009F4A4F">
      <w:pPr>
        <w:pStyle w:val="berschrift1"/>
      </w:pPr>
      <w:bookmarkStart w:id="4" w:name="_Toc81236466"/>
      <w:r>
        <w:lastRenderedPageBreak/>
        <w:t>Kommunikation</w:t>
      </w:r>
      <w:bookmarkEnd w:id="4"/>
    </w:p>
    <w:p w14:paraId="5C2E0EA5" w14:textId="32D8AC65" w:rsidR="004A4C7F" w:rsidRDefault="009F4A4F">
      <w:pPr>
        <w:spacing w:line="276" w:lineRule="auto"/>
      </w:pPr>
      <w:r>
        <w:rPr>
          <w:rFonts w:asciiTheme="minorHAnsi" w:hAnsiTheme="minorHAnsi"/>
        </w:rPr>
        <w:t>Bewerberfragen können nur digital über</w:t>
      </w:r>
      <w:r>
        <w:rPr>
          <w:rFonts w:asciiTheme="minorHAnsi" w:eastAsiaTheme="minorHAnsi" w:hAnsiTheme="minorHAnsi"/>
          <w:lang w:eastAsia="en-US"/>
        </w:rPr>
        <w:t xml:space="preserve"> </w:t>
      </w:r>
      <w:r>
        <w:rPr>
          <w:rFonts w:asciiTheme="minorHAnsi" w:hAnsiTheme="minorHAnsi"/>
        </w:rPr>
        <w:t xml:space="preserve">die </w:t>
      </w:r>
      <w:r w:rsidR="0073501A" w:rsidRPr="005217CB">
        <w:rPr>
          <w:rFonts w:eastAsia="Calibri" w:cs="Calibri"/>
        </w:rPr>
        <w:t>Vergabeplattform eVergabe</w:t>
      </w:r>
      <w:r w:rsidR="0073501A">
        <w:rPr>
          <w:rFonts w:eastAsia="Calibri" w:cs="Calibri"/>
        </w:rPr>
        <w:t xml:space="preserve"> NRW (</w:t>
      </w:r>
      <w:r w:rsidR="0073501A" w:rsidRPr="000349F3">
        <w:rPr>
          <w:rFonts w:eastAsia="Calibri" w:cs="Calibri"/>
        </w:rPr>
        <w:t>https://www.evergabe.nrw.de</w:t>
      </w:r>
      <w:r w:rsidR="0073501A">
        <w:rPr>
          <w:rFonts w:eastAsia="Calibri" w:cs="Calibri"/>
        </w:rPr>
        <w:t>)</w:t>
      </w:r>
      <w:r w:rsidR="0073501A" w:rsidRPr="00AC51B7">
        <w:rPr>
          <w:rFonts w:eastAsia="Calibri" w:cs="Calibri"/>
        </w:rPr>
        <w:t xml:space="preserve"> </w:t>
      </w:r>
      <w:r>
        <w:rPr>
          <w:rFonts w:asciiTheme="minorHAnsi" w:hAnsiTheme="minorHAnsi"/>
        </w:rPr>
        <w:t>gestellt werden und werden nur darüber beantwortet. Eine telefonische Beantwortung von Bewerberfragen erfolgt nicht. Der Auftraggeber stellt auf</w:t>
      </w:r>
      <w:r>
        <w:rPr>
          <w:rFonts w:asciiTheme="minorHAnsi" w:eastAsiaTheme="minorHAnsi" w:hAnsiTheme="minorHAnsi"/>
          <w:lang w:eastAsia="en-US"/>
        </w:rPr>
        <w:t xml:space="preserve"> </w:t>
      </w:r>
      <w:r>
        <w:rPr>
          <w:rFonts w:asciiTheme="minorHAnsi" w:hAnsiTheme="minorHAnsi"/>
        </w:rPr>
        <w:t xml:space="preserve">der Vergabeplattform </w:t>
      </w:r>
      <w:r w:rsidR="0073501A" w:rsidRPr="005217CB">
        <w:rPr>
          <w:rFonts w:eastAsia="Calibri" w:cs="Calibri"/>
        </w:rPr>
        <w:t>eVergabe</w:t>
      </w:r>
      <w:r w:rsidR="0073501A">
        <w:rPr>
          <w:rFonts w:eastAsia="Calibri" w:cs="Calibri"/>
        </w:rPr>
        <w:t xml:space="preserve"> NRW (</w:t>
      </w:r>
      <w:r w:rsidR="0073501A" w:rsidRPr="000349F3">
        <w:rPr>
          <w:rFonts w:eastAsia="Calibri" w:cs="Calibri"/>
        </w:rPr>
        <w:t>https://www.evergabe.nrw.de</w:t>
      </w:r>
      <w:r w:rsidR="0073501A">
        <w:rPr>
          <w:rFonts w:eastAsia="Calibri" w:cs="Calibri"/>
        </w:rPr>
        <w:t>)</w:t>
      </w:r>
      <w:r w:rsidR="0073501A" w:rsidRPr="00AC51B7">
        <w:rPr>
          <w:rFonts w:eastAsia="Calibri" w:cs="Calibri"/>
        </w:rPr>
        <w:t xml:space="preserve"> </w:t>
      </w:r>
      <w:r>
        <w:t>Unterlagen ein (auch ggf. neue, sich ändernde oder ergänzende Unterlagen). Der Bewerber/die Bewerbergemeinschaft hat sich hierüber selbst verantwortlich fortlaufend zu informieren.</w:t>
      </w:r>
    </w:p>
    <w:p w14:paraId="6DF4B458" w14:textId="77777777" w:rsidR="004A4C7F" w:rsidRDefault="009F4A4F">
      <w:pPr>
        <w:pStyle w:val="berschrift1"/>
      </w:pPr>
      <w:bookmarkStart w:id="5" w:name="_Toc81236467"/>
      <w:r>
        <w:t xml:space="preserve">Hinweise nach dem </w:t>
      </w:r>
      <w:proofErr w:type="spellStart"/>
      <w:r>
        <w:t>TVgG</w:t>
      </w:r>
      <w:proofErr w:type="spellEnd"/>
      <w:r>
        <w:t>-NRW</w:t>
      </w:r>
    </w:p>
    <w:p w14:paraId="5FB77D17" w14:textId="77777777" w:rsidR="004A4C7F" w:rsidRDefault="009F4A4F">
      <w:pPr>
        <w:spacing w:line="276" w:lineRule="auto"/>
        <w:rPr>
          <w:lang w:eastAsia="en-US"/>
        </w:rPr>
      </w:pPr>
      <w:r>
        <w:rPr>
          <w:lang w:eastAsia="en-US"/>
        </w:rPr>
        <w:t>Die Besonderen Vertragsbedingungen des Landes Nordrhein-Westfalen zur Einhaltung des Tariftreue- und Vergabegesetzes Nordrhein-Westfalen (BVB Tariftreue- und Vergabegesetz Nordrhein-Westfalen) werden Vertragsbestandteil.</w:t>
      </w:r>
    </w:p>
    <w:p w14:paraId="1D46D591" w14:textId="77777777" w:rsidR="004A4C7F" w:rsidRDefault="009F4A4F">
      <w:pPr>
        <w:pStyle w:val="berschrift1"/>
      </w:pPr>
      <w:r>
        <w:t>Schlusstermin für den Eingang der Teilnahmeanträge</w:t>
      </w:r>
      <w:bookmarkEnd w:id="5"/>
    </w:p>
    <w:p w14:paraId="417BD8F8" w14:textId="77777777" w:rsidR="004A4C7F" w:rsidRDefault="009F4A4F">
      <w:pPr>
        <w:spacing w:line="276" w:lineRule="auto"/>
      </w:pPr>
      <w:r>
        <w:t xml:space="preserve">Die Abgabefrist für den Antrag auf Teilnahme endet am: </w:t>
      </w:r>
    </w:p>
    <w:p w14:paraId="473F6BE6" w14:textId="3A549FC7" w:rsidR="004A4C7F" w:rsidRPr="00981B2B" w:rsidRDefault="00981B2B">
      <w:pPr>
        <w:pStyle w:val="Listenabsatz"/>
        <w:numPr>
          <w:ilvl w:val="0"/>
          <w:numId w:val="5"/>
        </w:numPr>
        <w:spacing w:line="276" w:lineRule="auto"/>
      </w:pPr>
      <w:r>
        <w:rPr>
          <w:b/>
          <w:bCs/>
        </w:rPr>
        <w:t>10.02.</w:t>
      </w:r>
      <w:r w:rsidR="009F4A4F" w:rsidRPr="00981B2B">
        <w:rPr>
          <w:b/>
          <w:bCs/>
        </w:rPr>
        <w:t>202</w:t>
      </w:r>
      <w:r w:rsidR="0073501A" w:rsidRPr="00981B2B">
        <w:rPr>
          <w:b/>
          <w:bCs/>
        </w:rPr>
        <w:t>6</w:t>
      </w:r>
      <w:r w:rsidR="009F4A4F" w:rsidRPr="00981B2B">
        <w:rPr>
          <w:b/>
          <w:bCs/>
        </w:rPr>
        <w:t xml:space="preserve"> um 1</w:t>
      </w:r>
      <w:r>
        <w:rPr>
          <w:b/>
          <w:bCs/>
        </w:rPr>
        <w:t>1</w:t>
      </w:r>
      <w:r w:rsidR="009F4A4F" w:rsidRPr="00981B2B">
        <w:rPr>
          <w:b/>
          <w:bCs/>
        </w:rPr>
        <w:t>:00 Uhr</w:t>
      </w:r>
      <w:r w:rsidR="009F4A4F" w:rsidRPr="00981B2B">
        <w:t>.</w:t>
      </w:r>
    </w:p>
    <w:p w14:paraId="671B2D2B" w14:textId="77777777" w:rsidR="004A4C7F" w:rsidRDefault="009F4A4F">
      <w:pPr>
        <w:spacing w:line="276" w:lineRule="auto"/>
      </w:pPr>
      <w:r>
        <w:t xml:space="preserve">Teilnahmeanträge, welche nicht form- und fristgerecht eingereicht werden, werden nicht berücksichtigt. Der Bewerber trägt die Verantwortung für die fristgerechte Einreichung. </w:t>
      </w:r>
    </w:p>
    <w:p w14:paraId="18A0C9ED" w14:textId="77777777" w:rsidR="004A4C7F" w:rsidRDefault="009F4A4F">
      <w:pPr>
        <w:pStyle w:val="berschrift1"/>
      </w:pPr>
      <w:bookmarkStart w:id="6" w:name="_Toc81236468"/>
      <w:r>
        <w:t>Kosten Teilnahmeantrag</w:t>
      </w:r>
      <w:bookmarkEnd w:id="6"/>
    </w:p>
    <w:p w14:paraId="6B6F53E0" w14:textId="77777777" w:rsidR="004A4C7F" w:rsidRDefault="009F4A4F">
      <w:pPr>
        <w:spacing w:line="276" w:lineRule="auto"/>
      </w:pPr>
      <w:r>
        <w:t>Die Kosten für die Bearbeitung des Teilnahmeantrags werden nicht erstattet.</w:t>
      </w:r>
    </w:p>
    <w:p w14:paraId="28F19CDB" w14:textId="77777777" w:rsidR="004A4C7F" w:rsidRDefault="009F4A4F">
      <w:pPr>
        <w:pStyle w:val="berschrift1"/>
      </w:pPr>
      <w:bookmarkStart w:id="7" w:name="_Toc465890278"/>
      <w:bookmarkStart w:id="8" w:name="_Toc469830297"/>
      <w:bookmarkStart w:id="9" w:name="_Toc81236483"/>
      <w:bookmarkStart w:id="10" w:name="_Toc81236469"/>
      <w:r>
        <w:t>Beschreibung und Umfang der geplanten Maßnahme</w:t>
      </w:r>
      <w:bookmarkEnd w:id="7"/>
      <w:bookmarkEnd w:id="8"/>
      <w:bookmarkEnd w:id="9"/>
    </w:p>
    <w:p w14:paraId="581B475D" w14:textId="2706D3B8" w:rsidR="004A4C7F" w:rsidRDefault="009F4A4F">
      <w:pPr>
        <w:rPr>
          <w:lang w:eastAsia="en-US"/>
        </w:rPr>
      </w:pPr>
      <w:r>
        <w:rPr>
          <w:lang w:eastAsia="en-US"/>
        </w:rPr>
        <w:t xml:space="preserve">Weitere Informationen zum Leistungsumfang finden Sie in der </w:t>
      </w:r>
      <w:r w:rsidR="006821B9">
        <w:rPr>
          <w:lang w:eastAsia="en-US"/>
        </w:rPr>
        <w:t>Leistungsbeschreibung</w:t>
      </w:r>
      <w:r>
        <w:rPr>
          <w:lang w:eastAsia="en-US"/>
        </w:rPr>
        <w:t xml:space="preserve"> sowie im Vertrag. </w:t>
      </w:r>
    </w:p>
    <w:p w14:paraId="298D9167" w14:textId="77777777" w:rsidR="004A4C7F" w:rsidRDefault="009F4A4F">
      <w:pPr>
        <w:pStyle w:val="berschrift1"/>
        <w:spacing w:line="276" w:lineRule="auto"/>
      </w:pPr>
      <w:r>
        <w:t>Vorgesehener Verfahrensgang unter Angabe voraussichtlicher Fristen</w:t>
      </w:r>
      <w:bookmarkEnd w:id="10"/>
    </w:p>
    <w:p w14:paraId="370FF55C" w14:textId="77777777" w:rsidR="004A4C7F" w:rsidRDefault="009F4A4F">
      <w:pPr>
        <w:spacing w:line="276" w:lineRule="auto"/>
      </w:pPr>
      <w:r>
        <w:t xml:space="preserve">Das gegenständliche Vergabeverfahren läuft in zwei Stufen ab. </w:t>
      </w:r>
    </w:p>
    <w:p w14:paraId="7A449532" w14:textId="77777777" w:rsidR="004A4C7F" w:rsidRDefault="009F4A4F">
      <w:pPr>
        <w:spacing w:line="276" w:lineRule="auto"/>
      </w:pPr>
      <w:r>
        <w:t xml:space="preserve">Bei dem hiesigen Verhandlungsverfahren mit Teilnahmewettbewerb wird eine unbeschränkte Anzahl von Unternehmen im Rahmen eines Teilnahmewettbewerbs öffentlich zur Abgabe von Teilnahmeanträgen aufgefordert. Jedes interessierte Unternehmen kann einen Teilnahmeantrag abgeben. Mit dem Teilnahmeantrag übermitteln die Unternehmen die geforderten Informationen für die Prüfung ihrer Eignung. </w:t>
      </w:r>
    </w:p>
    <w:p w14:paraId="341CAA02" w14:textId="77777777" w:rsidR="004A4C7F" w:rsidRDefault="009F4A4F">
      <w:pPr>
        <w:spacing w:line="276" w:lineRule="auto"/>
      </w:pPr>
      <w:r>
        <w:t xml:space="preserve">Nur diejenigen Unternehmen, die nach Prüfung der übermittelten Informationen dazu aufgefordert werden, können ein Erstangebot einreichen. Die Zahl geeigneter Bewerber, die zur Angebotsabgabe aufgefordert werden, wird gemäß § 51 VgV begrenzt. Die vorgesehene Mindestzahl der einzuladenden </w:t>
      </w:r>
      <w:r>
        <w:lastRenderedPageBreak/>
        <w:t xml:space="preserve">Bewerber beträgt 3, die Höchstzahl beträgt ebenfalls 3 Bewerber. Sofern geeignete Bewerber in ausreichender Zahl zur Verfügung stehen, wird eine Anzahl von geeigneten Bewerbern nach den benannten vorgesehenen objektiven und nichtdiskriminierenden Eignungskriterien (Auswahlkriterien) ausgewählt und eingeladen, die nicht niedriger als die festgelegte Mindestzahl an Bewerbern ist. </w:t>
      </w:r>
    </w:p>
    <w:p w14:paraId="4AB2D888" w14:textId="77777777" w:rsidR="004A4C7F" w:rsidRDefault="009F4A4F">
      <w:pPr>
        <w:spacing w:line="276" w:lineRule="auto"/>
      </w:pPr>
      <w:r>
        <w:t>Bei identischer Punktzahl erfolgt eine Auswahl nach Losentscheidung. Sofern die Zahl geeigneter Bewerber unter der Mindestzahl liegt, wird das Vergabeverfahren fortgeführt werden, indem der oder die Bewerber eingeladen wird/werden, die über die geforderte Eignung verfügen. Andere Unternehmen, die sich nicht um die Teilnahme beworben haben, oder Bewerber, die nicht über die geforderte Eignung verfügen, werden nicht zu demselben Verfahren zugelassen.</w:t>
      </w:r>
    </w:p>
    <w:p w14:paraId="4A29B006" w14:textId="77777777" w:rsidR="004A4C7F" w:rsidRDefault="009F4A4F">
      <w:pPr>
        <w:spacing w:line="276" w:lineRule="auto"/>
      </w:pPr>
      <w:r>
        <w:t>Im nunmehr zunächst einschlägigen Teilnahmewettbewerb prüft der Auftraggeber die Bewerbungsunterlagen (Teilnahmeanträge) in zwei Schritten.</w:t>
      </w:r>
    </w:p>
    <w:p w14:paraId="3C52AF1F" w14:textId="77777777" w:rsidR="004A4C7F" w:rsidRDefault="009F4A4F">
      <w:pPr>
        <w:spacing w:line="276" w:lineRule="auto"/>
      </w:pPr>
      <w:r>
        <w:t xml:space="preserve">In einem ersten Schritt werden diejenigen Bewerber vom weiteren Verfahren ausgeschlossen, die entweder zwingende Ausschlusskriterien verwirklichen oder die geforderten Mindeststandards an die Eignung nicht erfüllen. Beim Vorliegen fakultativer Ausschlussgründe erfolgt eine Entscheidung im Einzelfall. </w:t>
      </w:r>
    </w:p>
    <w:p w14:paraId="4B15030A" w14:textId="77777777" w:rsidR="004A4C7F" w:rsidRDefault="009F4A4F">
      <w:pPr>
        <w:spacing w:line="276" w:lineRule="auto"/>
      </w:pPr>
      <w:r>
        <w:t xml:space="preserve">Im zweiten Schritt wählt der Auftraggeber ausgehend von einer hinreichenden Anzahl von Bewerbern aus den verbleibenden Bewerbern, die einen wertbaren Teilnahmeantrag abgegeben haben, anhand der festgelegten Auswahlkriterien die (mindestens 3, maximal 3) Bewerber aus, mit denen er Auftragsverhandlungen führen möchte. </w:t>
      </w:r>
    </w:p>
    <w:p w14:paraId="00227B1E" w14:textId="4D805632" w:rsidR="004A4C7F" w:rsidRDefault="009F4A4F">
      <w:pPr>
        <w:spacing w:line="276" w:lineRule="auto"/>
      </w:pPr>
      <w:r>
        <w:t xml:space="preserve">Die Eröffnung der Teilnahmeanträge erfolgt </w:t>
      </w:r>
      <w:r w:rsidRPr="00981B2B">
        <w:t xml:space="preserve">am </w:t>
      </w:r>
      <w:r w:rsidR="00981B2B">
        <w:t>10.02.</w:t>
      </w:r>
      <w:r w:rsidRPr="00981B2B">
        <w:t>202</w:t>
      </w:r>
      <w:r w:rsidR="006821B9" w:rsidRPr="00981B2B">
        <w:t>6</w:t>
      </w:r>
      <w:r w:rsidRPr="00981B2B">
        <w:t xml:space="preserve"> um 1</w:t>
      </w:r>
      <w:r w:rsidR="00981B2B">
        <w:t>1</w:t>
      </w:r>
      <w:r w:rsidRPr="00981B2B">
        <w:t>:00 Uhr</w:t>
      </w:r>
      <w:r>
        <w:t xml:space="preserve">. Der Abschluss des Teilnahmewettbewerbs ist </w:t>
      </w:r>
      <w:r>
        <w:rPr>
          <w:u w:val="single"/>
        </w:rPr>
        <w:t>voraussichtlich</w:t>
      </w:r>
      <w:r>
        <w:t xml:space="preserve"> für die </w:t>
      </w:r>
      <w:r w:rsidR="00981B2B" w:rsidRPr="00981B2B">
        <w:t>10.</w:t>
      </w:r>
      <w:r w:rsidRPr="00981B2B">
        <w:t xml:space="preserve"> KW 2026</w:t>
      </w:r>
      <w:r>
        <w:t xml:space="preserve"> angesetzt. Bewerber sind bei der Eröffnung der Teilnahmeanträge nicht zugelassen. </w:t>
      </w:r>
    </w:p>
    <w:p w14:paraId="503DED5A" w14:textId="4042F59B" w:rsidR="004A4C7F" w:rsidRDefault="009F4A4F">
      <w:pPr>
        <w:spacing w:line="276" w:lineRule="auto"/>
      </w:pPr>
      <w:r>
        <w:t xml:space="preserve">Verhandlungen mit den Bewerbern finden in der Phase des Teilnahmewettbewerbs </w:t>
      </w:r>
      <w:r>
        <w:rPr>
          <w:u w:val="single"/>
        </w:rPr>
        <w:t>nicht</w:t>
      </w:r>
      <w:r>
        <w:t xml:space="preserve"> statt. Der Auftraggeber wird die Informationen zur Zulassung zur Teilnahme am weiteren Verfahren (Angebotsphase) verbunden mit der Aufforderung zur Abgabe eines (indikativen) Angebots </w:t>
      </w:r>
      <w:r>
        <w:rPr>
          <w:u w:val="single"/>
        </w:rPr>
        <w:t>voraussichtlich</w:t>
      </w:r>
      <w:r>
        <w:t xml:space="preserve"> in der </w:t>
      </w:r>
      <w:r w:rsidR="00981B2B" w:rsidRPr="00981B2B">
        <w:t>11.</w:t>
      </w:r>
      <w:r w:rsidRPr="00981B2B">
        <w:t xml:space="preserve"> KW 2026</w:t>
      </w:r>
      <w:r>
        <w:t xml:space="preserve"> an die erfolgreichen Bewerber richten. </w:t>
      </w:r>
    </w:p>
    <w:p w14:paraId="72C78124" w14:textId="77777777" w:rsidR="004A4C7F" w:rsidRDefault="009F4A4F">
      <w:pPr>
        <w:pStyle w:val="berschrift1"/>
      </w:pPr>
      <w:bookmarkStart w:id="11" w:name="_Toc81236470"/>
      <w:r>
        <w:t>Angebotsphase</w:t>
      </w:r>
      <w:bookmarkEnd w:id="11"/>
    </w:p>
    <w:p w14:paraId="6AB22E0C" w14:textId="77777777" w:rsidR="004A4C7F" w:rsidRDefault="009F4A4F">
      <w:pPr>
        <w:spacing w:line="276" w:lineRule="auto"/>
      </w:pPr>
      <w:r>
        <w:t>Der Auftraggeber behält sich vor mit den Bietern über die von ihnen eingereichten indikativen Erstangebote (und sofern mehrere Verhandlungsrunden erforderlich sein sollten über alle Folgeangebote, mit Ausnahme der endgültigen Angebote) mit dem Ziel, die Angebote inhaltlich zu verbessern, zu verhandeln. Dabei darf über den gesamten Angebotsinhalt verhandelt werden mit Ausnahme der in den Vergabeunterlagen festgelegten Mindestanforderungen und Zuschlagskriterien.</w:t>
      </w:r>
    </w:p>
    <w:p w14:paraId="509D78D2" w14:textId="77777777" w:rsidR="004A4C7F" w:rsidRDefault="009F4A4F">
      <w:pPr>
        <w:spacing w:line="276" w:lineRule="auto"/>
      </w:pPr>
      <w:r>
        <w:t>Nach Abschluss der Verhandlungen werden die endverhandelten Angebote final gewertet. Über den Zuschlag wird auf der Grundlage der Zuschlagskriterien entschieden.</w:t>
      </w:r>
    </w:p>
    <w:p w14:paraId="4430F0CC" w14:textId="77777777" w:rsidR="004A4C7F" w:rsidRDefault="009F4A4F">
      <w:pPr>
        <w:pStyle w:val="berschrift1"/>
      </w:pPr>
      <w:bookmarkStart w:id="12" w:name="_Toc81236471"/>
      <w:bookmarkStart w:id="13" w:name="_Hlk2864244"/>
      <w:r>
        <w:lastRenderedPageBreak/>
        <w:t xml:space="preserve">Losbildung </w:t>
      </w:r>
      <w:bookmarkEnd w:id="12"/>
    </w:p>
    <w:p w14:paraId="24929A27" w14:textId="77777777" w:rsidR="004A4C7F" w:rsidRDefault="009F4A4F">
      <w:r>
        <w:rPr>
          <w:rFonts w:eastAsia="Arial"/>
        </w:rPr>
        <w:t xml:space="preserve">Die Leistung wird </w:t>
      </w:r>
      <w:r>
        <w:rPr>
          <w:rFonts w:eastAsia="Arial"/>
          <w:u w:val="single"/>
        </w:rPr>
        <w:t>nicht</w:t>
      </w:r>
      <w:r>
        <w:rPr>
          <w:rFonts w:eastAsia="Arial"/>
        </w:rPr>
        <w:t xml:space="preserve"> in Lose aufgeteilt.</w:t>
      </w:r>
    </w:p>
    <w:p w14:paraId="27308E0E" w14:textId="77777777" w:rsidR="004A4C7F" w:rsidRDefault="009F4A4F">
      <w:pPr>
        <w:pStyle w:val="berschrift1"/>
      </w:pPr>
      <w:r>
        <w:t xml:space="preserve">Mindestanforderungen an die Eignung </w:t>
      </w:r>
    </w:p>
    <w:p w14:paraId="16F66F33" w14:textId="77777777" w:rsidR="00DD51B8" w:rsidRDefault="00DD51B8" w:rsidP="00DD51B8">
      <w:pPr>
        <w:pStyle w:val="berschrift2"/>
        <w:spacing w:before="360" w:line="276" w:lineRule="auto"/>
      </w:pPr>
      <w:bookmarkStart w:id="14" w:name="_Toc163494409"/>
      <w:bookmarkStart w:id="15" w:name="_Toc187135131"/>
      <w:r>
        <w:t>Befähigung zur Berufsausübung einschließlich Auflagen hinsichtlich der Eintragung in einem Berufs- oder Handelsregister, Ausschlussgründe</w:t>
      </w:r>
      <w:bookmarkEnd w:id="14"/>
      <w:bookmarkEnd w:id="15"/>
    </w:p>
    <w:p w14:paraId="0714A683" w14:textId="77777777" w:rsidR="00DD51B8" w:rsidRDefault="00DD51B8" w:rsidP="000B4A9F">
      <w:pPr>
        <w:pStyle w:val="Listenabsatz"/>
        <w:numPr>
          <w:ilvl w:val="0"/>
          <w:numId w:val="15"/>
        </w:numPr>
        <w:spacing w:line="276" w:lineRule="auto"/>
      </w:pPr>
      <w:r>
        <w:t>Erklärung zu §§ 42 VgV i.V.m. §§ 123, 124 GWB</w:t>
      </w:r>
    </w:p>
    <w:p w14:paraId="3E449ECC" w14:textId="583D7CB6" w:rsidR="00DD51B8" w:rsidRDefault="00DD51B8" w:rsidP="000B4A9F">
      <w:pPr>
        <w:pStyle w:val="Listenabsatz"/>
        <w:numPr>
          <w:ilvl w:val="0"/>
          <w:numId w:val="15"/>
        </w:numPr>
        <w:spacing w:line="276" w:lineRule="auto"/>
      </w:pPr>
      <w:r>
        <w:t>Erklärung zur Selbstreinigungsmaßn</w:t>
      </w:r>
      <w:r w:rsidR="00B60BD6">
        <w:t>a</w:t>
      </w:r>
      <w:r>
        <w:t>hmen i.S.d. § 125 GWB (sofern einschlägig)</w:t>
      </w:r>
    </w:p>
    <w:p w14:paraId="698CBC38" w14:textId="77777777" w:rsidR="00DD51B8" w:rsidRDefault="00DD51B8" w:rsidP="000B4A9F">
      <w:pPr>
        <w:pStyle w:val="Listenabsatz"/>
        <w:numPr>
          <w:ilvl w:val="0"/>
          <w:numId w:val="15"/>
        </w:numPr>
        <w:spacing w:line="276" w:lineRule="auto"/>
      </w:pPr>
      <w:r>
        <w:t>Eigenerklärung entsprechend dem BMWK-Rundschreiben vom 14.04.2022 über die Einhaltung der Sanktionen gegen die Russische Föderation (sog. „Russlanderklärung“)</w:t>
      </w:r>
    </w:p>
    <w:p w14:paraId="23EED760" w14:textId="6463685C" w:rsidR="00DD51B8" w:rsidRDefault="0034593D" w:rsidP="000B4A9F">
      <w:pPr>
        <w:pStyle w:val="Listenabsatz"/>
        <w:numPr>
          <w:ilvl w:val="0"/>
          <w:numId w:val="15"/>
        </w:numPr>
        <w:spacing w:line="276" w:lineRule="auto"/>
      </w:pPr>
      <w:r w:rsidRPr="0034593D">
        <w:t>Benennung des für die Durchführung der Aufgabe verantwortlichen Berufsangehörigen gemäß § 75 Abs. 1 oder 2 VgV</w:t>
      </w:r>
      <w:r>
        <w:t>.</w:t>
      </w:r>
    </w:p>
    <w:p w14:paraId="1CC9528C" w14:textId="77777777" w:rsidR="00DD51B8" w:rsidRDefault="00DD51B8" w:rsidP="00DD51B8">
      <w:pPr>
        <w:pStyle w:val="berschrift2"/>
        <w:spacing w:before="360" w:line="276" w:lineRule="auto"/>
      </w:pPr>
      <w:bookmarkStart w:id="16" w:name="_Toc187135132"/>
      <w:bookmarkStart w:id="17" w:name="_Toc163494410"/>
      <w:r>
        <w:t>Wirtschaftliche und finanzielle Leistungsfähigkeit</w:t>
      </w:r>
      <w:bookmarkEnd w:id="16"/>
    </w:p>
    <w:p w14:paraId="72708213" w14:textId="77777777" w:rsidR="00DD51B8" w:rsidRDefault="00DD51B8" w:rsidP="00DD51B8">
      <w:pPr>
        <w:pStyle w:val="berschrift3"/>
        <w:spacing w:before="240" w:line="276" w:lineRule="auto"/>
      </w:pPr>
      <w:bookmarkStart w:id="18" w:name="_Toc187135133"/>
      <w:r>
        <w:t>Jährlicher Gesamtumsatz</w:t>
      </w:r>
      <w:bookmarkEnd w:id="18"/>
    </w:p>
    <w:p w14:paraId="613AFC1A" w14:textId="77777777" w:rsidR="00DD51B8" w:rsidRDefault="00DD51B8" w:rsidP="00DD51B8">
      <w:pPr>
        <w:spacing w:line="276" w:lineRule="auto"/>
        <w:rPr>
          <w:rFonts w:cs="Calibri"/>
        </w:rPr>
      </w:pPr>
      <w:r>
        <w:t xml:space="preserve">Jährlicher Gesamtumsatz des Bewerbers/der Bewerbergemeinschaft in den letzten 3 Geschäftsjahren </w:t>
      </w:r>
      <w:r>
        <w:rPr>
          <w:rFonts w:cs="Calibri"/>
        </w:rPr>
        <w:t>von jeweils</w:t>
      </w:r>
    </w:p>
    <w:p w14:paraId="2EE64C2F" w14:textId="13A5C7AA" w:rsidR="00DD51B8" w:rsidRPr="00FA4C4E" w:rsidRDefault="00FA4C4E" w:rsidP="00DD51B8">
      <w:pPr>
        <w:pStyle w:val="Listenabsatz"/>
        <w:numPr>
          <w:ilvl w:val="0"/>
          <w:numId w:val="14"/>
        </w:numPr>
        <w:spacing w:line="276" w:lineRule="auto"/>
        <w:ind w:left="1134"/>
      </w:pPr>
      <w:r w:rsidRPr="00FA4C4E">
        <w:t>8.000.000,00</w:t>
      </w:r>
      <w:r w:rsidR="00DD51B8" w:rsidRPr="00FA4C4E">
        <w:t xml:space="preserve"> € netto </w:t>
      </w:r>
    </w:p>
    <w:p w14:paraId="01426678" w14:textId="77777777" w:rsidR="00DD51B8" w:rsidRDefault="00DD51B8" w:rsidP="00DD51B8">
      <w:pPr>
        <w:spacing w:line="276" w:lineRule="auto"/>
      </w:pPr>
      <w:r>
        <w:t xml:space="preserve">Der Umsatz der Mitglieder einer Bewerbergemeinschaft wird addiert; bzgl. der Mindestanforderung kommt es auf die Umsätze der Bewerbergemeinschaft insgesamt an. </w:t>
      </w:r>
    </w:p>
    <w:p w14:paraId="6B61B43A" w14:textId="77777777" w:rsidR="00DD51B8" w:rsidRDefault="00DD51B8" w:rsidP="00DD51B8">
      <w:pPr>
        <w:pStyle w:val="berschrift3"/>
        <w:spacing w:before="240" w:line="276" w:lineRule="auto"/>
      </w:pPr>
      <w:bookmarkStart w:id="19" w:name="_Toc187135134"/>
      <w:r>
        <w:t>Berufshaftpflichtversicherung</w:t>
      </w:r>
      <w:bookmarkEnd w:id="17"/>
      <w:bookmarkEnd w:id="19"/>
    </w:p>
    <w:p w14:paraId="1E4BFC7A" w14:textId="338B50D7" w:rsidR="00DD51B8" w:rsidRDefault="00DD51B8" w:rsidP="00DD51B8">
      <w:r>
        <w:t>Jeder Bewerber/jedes Mitglied einer Bewerbergemeinschaft hat eine Berufshaftpflichtversicherung vorzuhalten, mit Deckungssummen, die folgende Kriterien erfüllen:</w:t>
      </w:r>
    </w:p>
    <w:p w14:paraId="64218672" w14:textId="687F5AA1" w:rsidR="00DD51B8" w:rsidRPr="00BA3109" w:rsidRDefault="00DD51B8" w:rsidP="00DD51B8">
      <w:pPr>
        <w:pStyle w:val="Listenabsatz"/>
        <w:numPr>
          <w:ilvl w:val="0"/>
          <w:numId w:val="13"/>
        </w:numPr>
        <w:spacing w:line="276" w:lineRule="auto"/>
        <w:rPr>
          <w:rFonts w:cs="Calibri"/>
          <w:lang w:eastAsia="en-US"/>
        </w:rPr>
      </w:pPr>
      <w:r w:rsidRPr="00BA3109">
        <w:rPr>
          <w:rFonts w:cs="Calibri"/>
          <w:lang w:eastAsia="en-US"/>
        </w:rPr>
        <w:t>mindestens 5</w:t>
      </w:r>
      <w:r>
        <w:rPr>
          <w:rFonts w:cs="Calibri"/>
          <w:lang w:eastAsia="en-US"/>
        </w:rPr>
        <w:t xml:space="preserve">.000.000,00 </w:t>
      </w:r>
      <w:r w:rsidRPr="00BA3109">
        <w:rPr>
          <w:rFonts w:cs="Calibri"/>
          <w:lang w:eastAsia="en-US"/>
        </w:rPr>
        <w:t xml:space="preserve">EUR je Verstoß für Personenschäden sowie </w:t>
      </w:r>
    </w:p>
    <w:p w14:paraId="752FB11B" w14:textId="3260CCC9" w:rsidR="00DD51B8" w:rsidRPr="00BA3109" w:rsidRDefault="00DD51B8" w:rsidP="00DD51B8">
      <w:pPr>
        <w:pStyle w:val="Listenabsatz"/>
        <w:numPr>
          <w:ilvl w:val="0"/>
          <w:numId w:val="13"/>
        </w:numPr>
        <w:spacing w:line="276" w:lineRule="auto"/>
        <w:rPr>
          <w:rFonts w:cs="Calibri"/>
          <w:lang w:eastAsia="en-US"/>
        </w:rPr>
      </w:pPr>
      <w:r w:rsidRPr="00BA3109">
        <w:rPr>
          <w:rFonts w:cs="Calibri"/>
          <w:lang w:eastAsia="en-US"/>
        </w:rPr>
        <w:t>mindestens 3.</w:t>
      </w:r>
      <w:r>
        <w:rPr>
          <w:rFonts w:cs="Calibri"/>
          <w:lang w:eastAsia="en-US"/>
        </w:rPr>
        <w:t>000.000,00</w:t>
      </w:r>
      <w:r w:rsidRPr="00BA3109">
        <w:rPr>
          <w:rFonts w:cs="Calibri"/>
          <w:lang w:eastAsia="en-US"/>
        </w:rPr>
        <w:t xml:space="preserve"> EUR je Verstoß für sonstige Schäden (Sachschäden und Vermögens</w:t>
      </w:r>
      <w:r w:rsidR="00F33D6C">
        <w:rPr>
          <w:rFonts w:cs="Calibri"/>
          <w:lang w:eastAsia="en-US"/>
        </w:rPr>
        <w:t>-</w:t>
      </w:r>
      <w:r w:rsidRPr="00BA3109">
        <w:rPr>
          <w:rFonts w:cs="Calibri"/>
          <w:lang w:eastAsia="en-US"/>
        </w:rPr>
        <w:t>schäden)</w:t>
      </w:r>
    </w:p>
    <w:p w14:paraId="41AA5604" w14:textId="53D8B509" w:rsidR="00DD51B8" w:rsidRDefault="00DD51B8" w:rsidP="00DD51B8">
      <w:pPr>
        <w:spacing w:line="276" w:lineRule="auto"/>
        <w:rPr>
          <w:rFonts w:cs="Calibri"/>
          <w:lang w:eastAsia="en-US"/>
        </w:rPr>
      </w:pPr>
      <w:r>
        <w:rPr>
          <w:rFonts w:cs="Calibri"/>
          <w:lang w:eastAsia="en-US"/>
        </w:rPr>
        <w:t>Die Gesamtleistung des Versicherers innerhalb eines Versicherungsjahres muss mindestens das Doppelte dieser Deckungssummen betragen. Sofern ein Versicherungsschutz im vorstehenden Sinne (noch) nicht besteht, ist eine Eigenerklärung des B</w:t>
      </w:r>
      <w:r w:rsidR="001561B5">
        <w:rPr>
          <w:rFonts w:cs="Calibri"/>
          <w:lang w:eastAsia="en-US"/>
        </w:rPr>
        <w:t>ewerbers</w:t>
      </w:r>
      <w:r>
        <w:rPr>
          <w:rFonts w:cs="Calibri"/>
          <w:lang w:eastAsia="en-US"/>
        </w:rPr>
        <w:t>/der B</w:t>
      </w:r>
      <w:r w:rsidR="001561B5">
        <w:rPr>
          <w:rFonts w:cs="Calibri"/>
          <w:lang w:eastAsia="en-US"/>
        </w:rPr>
        <w:t>ewerber</w:t>
      </w:r>
      <w:r>
        <w:rPr>
          <w:rFonts w:cs="Calibri"/>
          <w:lang w:eastAsia="en-US"/>
        </w:rPr>
        <w:t xml:space="preserve">gemeinschaft ausreichend, wonach im Auftragsfall ein Versicherungsschutz im vorstehenden Sinne erfolgen </w:t>
      </w:r>
      <w:r w:rsidR="001B6933">
        <w:rPr>
          <w:rFonts w:cs="Calibri"/>
          <w:lang w:eastAsia="en-US"/>
        </w:rPr>
        <w:t>wird</w:t>
      </w:r>
      <w:r>
        <w:rPr>
          <w:rFonts w:cs="Calibri"/>
          <w:lang w:eastAsia="en-US"/>
        </w:rPr>
        <w:t xml:space="preserve"> (§ 45 Abs. 4 Nr. 2 VgV).</w:t>
      </w:r>
    </w:p>
    <w:p w14:paraId="3EB29F03" w14:textId="77777777" w:rsidR="00DD51B8" w:rsidRDefault="00DD51B8" w:rsidP="00DD51B8">
      <w:pPr>
        <w:pBdr>
          <w:top w:val="single" w:sz="12" w:space="1" w:color="000000"/>
          <w:left w:val="single" w:sz="12" w:space="4" w:color="000000"/>
          <w:bottom w:val="single" w:sz="12" w:space="1" w:color="000000"/>
          <w:right w:val="single" w:sz="12" w:space="4" w:color="000000"/>
        </w:pBdr>
        <w:spacing w:line="276" w:lineRule="auto"/>
        <w:rPr>
          <w:rFonts w:cs="Calibri"/>
          <w:b/>
          <w:bCs/>
          <w:lang w:eastAsia="en-US"/>
        </w:rPr>
      </w:pPr>
      <w:r>
        <w:rPr>
          <w:rFonts w:cs="Calibri"/>
          <w:b/>
          <w:bCs/>
          <w:lang w:eastAsia="en-US"/>
        </w:rPr>
        <w:t xml:space="preserve">Achtung: Wir bitten, keine Versicherungsbestätigung oder Police unaufgefordert einzureichen. </w:t>
      </w:r>
    </w:p>
    <w:p w14:paraId="218B85ED" w14:textId="0FD9AA7C" w:rsidR="00DD51B8" w:rsidRDefault="00DD51B8" w:rsidP="00DD51B8">
      <w:pPr>
        <w:pStyle w:val="berschrift2"/>
        <w:spacing w:before="360" w:line="276" w:lineRule="auto"/>
      </w:pPr>
      <w:bookmarkStart w:id="20" w:name="_Toc187135135"/>
      <w:r>
        <w:lastRenderedPageBreak/>
        <w:t>Technische und berufliche Leistungsfähigkeit des Bewerbers/der Bewerbergemeinschaft</w:t>
      </w:r>
      <w:bookmarkEnd w:id="20"/>
    </w:p>
    <w:p w14:paraId="009D8A4D" w14:textId="77777777" w:rsidR="00DD51B8" w:rsidRDefault="00DD51B8" w:rsidP="00DD51B8">
      <w:pPr>
        <w:pStyle w:val="berschrift3"/>
        <w:spacing w:before="240" w:line="276" w:lineRule="auto"/>
      </w:pPr>
      <w:bookmarkStart w:id="21" w:name="_Toc187135137"/>
      <w:r>
        <w:t>Angaben zu Referenzen von Leistungen mit vergleichbaren Planungsleistungen:</w:t>
      </w:r>
      <w:bookmarkEnd w:id="21"/>
    </w:p>
    <w:p w14:paraId="0CC6784B" w14:textId="42D2598B" w:rsidR="004A4C7F" w:rsidRPr="00DD51B8" w:rsidRDefault="00DD51B8" w:rsidP="00DD51B8">
      <w:r>
        <w:t>Geeignete Referenzen der Bewerber/Bewerbergemeinschaft aufgegliedert nach nachfolgenden Unterkriterien:</w:t>
      </w:r>
    </w:p>
    <w:p w14:paraId="59B31405" w14:textId="7CB0798C" w:rsidR="00DD51B8" w:rsidRPr="000C3252" w:rsidRDefault="00DD51B8" w:rsidP="00DD51B8">
      <w:pPr>
        <w:pStyle w:val="Listenabsatz"/>
        <w:numPr>
          <w:ilvl w:val="0"/>
          <w:numId w:val="16"/>
        </w:numPr>
        <w:spacing w:line="276" w:lineRule="auto"/>
        <w:rPr>
          <w:rFonts w:eastAsia="Arial"/>
        </w:rPr>
      </w:pPr>
      <w:r>
        <w:rPr>
          <w:rFonts w:eastAsia="Arial"/>
        </w:rPr>
        <w:t xml:space="preserve">min. zwei Referenzen </w:t>
      </w:r>
      <w:r w:rsidRPr="00DD51B8">
        <w:rPr>
          <w:rFonts w:eastAsia="Arial"/>
        </w:rPr>
        <w:t xml:space="preserve">Fachplanung Technische Ausrüstung mit </w:t>
      </w:r>
      <w:r w:rsidR="009E4E3A">
        <w:rPr>
          <w:rFonts w:eastAsia="Arial"/>
        </w:rPr>
        <w:t>anrechenbaren Kosten</w:t>
      </w:r>
      <w:r w:rsidRPr="00DD51B8">
        <w:rPr>
          <w:rFonts w:eastAsia="Arial"/>
        </w:rPr>
        <w:t xml:space="preserve"> i.H.</w:t>
      </w:r>
      <w:r w:rsidRPr="000C3252">
        <w:rPr>
          <w:rFonts w:eastAsia="Arial"/>
        </w:rPr>
        <w:t xml:space="preserve">v. min. </w:t>
      </w:r>
      <w:r w:rsidR="00141067" w:rsidRPr="00141067">
        <w:rPr>
          <w:rFonts w:eastAsia="Arial"/>
        </w:rPr>
        <w:t>2</w:t>
      </w:r>
      <w:r w:rsidR="00F33D6C">
        <w:rPr>
          <w:rFonts w:eastAsia="Arial"/>
        </w:rPr>
        <w:t>5</w:t>
      </w:r>
      <w:r w:rsidR="00141067" w:rsidRPr="00141067">
        <w:rPr>
          <w:rFonts w:eastAsia="Arial"/>
        </w:rPr>
        <w:t xml:space="preserve">.000.000,00 </w:t>
      </w:r>
      <w:r w:rsidRPr="00141067">
        <w:rPr>
          <w:rFonts w:eastAsia="Arial"/>
        </w:rPr>
        <w:t>€ netto (KG 400</w:t>
      </w:r>
      <w:r w:rsidR="00F33D6C">
        <w:rPr>
          <w:rFonts w:eastAsia="Arial"/>
        </w:rPr>
        <w:t xml:space="preserve"> und KG 550</w:t>
      </w:r>
      <w:r w:rsidRPr="00141067">
        <w:rPr>
          <w:rFonts w:eastAsia="Arial"/>
        </w:rPr>
        <w:t>)</w:t>
      </w:r>
    </w:p>
    <w:p w14:paraId="05A0CB62" w14:textId="63D1352F" w:rsidR="00DD51B8" w:rsidRPr="000C3252" w:rsidRDefault="00DD51B8" w:rsidP="00DD51B8">
      <w:pPr>
        <w:pStyle w:val="Listenabsatz"/>
        <w:numPr>
          <w:ilvl w:val="0"/>
          <w:numId w:val="16"/>
        </w:numPr>
        <w:spacing w:line="276" w:lineRule="auto"/>
        <w:rPr>
          <w:rFonts w:eastAsia="Arial"/>
        </w:rPr>
      </w:pPr>
      <w:r w:rsidRPr="000C3252">
        <w:rPr>
          <w:rFonts w:eastAsia="Arial"/>
        </w:rPr>
        <w:t xml:space="preserve">min. zwei Referenzen Fachplanung Technische Ausrüstung mit erbrachten LPH 2-8; Fertigstellung </w:t>
      </w:r>
      <w:r w:rsidR="00735942">
        <w:rPr>
          <w:rFonts w:eastAsia="Arial"/>
        </w:rPr>
        <w:t xml:space="preserve">der LPH 8 </w:t>
      </w:r>
      <w:r w:rsidRPr="000C3252">
        <w:rPr>
          <w:rFonts w:eastAsia="Arial"/>
        </w:rPr>
        <w:t>in den letzten 5 Jahren</w:t>
      </w:r>
    </w:p>
    <w:p w14:paraId="52D5B645" w14:textId="0CB18C05" w:rsidR="00DD51B8" w:rsidRPr="008F5D2C" w:rsidRDefault="00DD51B8" w:rsidP="00DD51B8">
      <w:pPr>
        <w:pStyle w:val="Listenabsatz"/>
        <w:numPr>
          <w:ilvl w:val="0"/>
          <w:numId w:val="16"/>
        </w:numPr>
        <w:spacing w:line="276" w:lineRule="auto"/>
        <w:rPr>
          <w:rFonts w:eastAsia="Arial"/>
        </w:rPr>
      </w:pPr>
      <w:r w:rsidRPr="008F5D2C">
        <w:rPr>
          <w:rFonts w:eastAsia="Arial"/>
        </w:rPr>
        <w:t>min. zwei Referenzen Fachplanung Technische Ausrüstung mit Quartiers- oder Campuscharakter</w:t>
      </w:r>
    </w:p>
    <w:p w14:paraId="4A9A8411" w14:textId="5C1DCF96" w:rsidR="00DD51B8" w:rsidRPr="00F33D6C" w:rsidRDefault="00DD51B8" w:rsidP="00DD51B8">
      <w:pPr>
        <w:pStyle w:val="Listenabsatz"/>
        <w:numPr>
          <w:ilvl w:val="0"/>
          <w:numId w:val="16"/>
        </w:numPr>
        <w:spacing w:line="276" w:lineRule="auto"/>
        <w:rPr>
          <w:rFonts w:eastAsia="Arial"/>
        </w:rPr>
      </w:pPr>
      <w:r w:rsidRPr="008F5D2C">
        <w:rPr>
          <w:rFonts w:eastAsia="Arial"/>
        </w:rPr>
        <w:t xml:space="preserve">min. zwei </w:t>
      </w:r>
      <w:r w:rsidRPr="00F33D6C">
        <w:rPr>
          <w:rFonts w:eastAsia="Arial"/>
        </w:rPr>
        <w:t>Referenzen Fachplanung Technische Ausrüstung mit Planungsanforderungen min. HZ III</w:t>
      </w:r>
    </w:p>
    <w:p w14:paraId="35019A7B" w14:textId="77777777" w:rsidR="004A4C7F" w:rsidRDefault="009F4A4F">
      <w:pPr>
        <w:pStyle w:val="berschrift1"/>
      </w:pPr>
      <w:bookmarkStart w:id="22" w:name="_Toc81236475"/>
      <w:r>
        <w:t>Auswahlverfahren im Teilnahmewettbewerb gem. § 51 VgV</w:t>
      </w:r>
    </w:p>
    <w:p w14:paraId="1990343B" w14:textId="77777777" w:rsidR="004A4C7F" w:rsidRDefault="009F4A4F">
      <w:pPr>
        <w:pStyle w:val="berschrift2"/>
      </w:pPr>
      <w:r>
        <w:t>Darstellung des Auswertungs-/</w:t>
      </w:r>
      <w:proofErr w:type="spellStart"/>
      <w:r>
        <w:t>Bepunktungsvorganges</w:t>
      </w:r>
      <w:bookmarkEnd w:id="22"/>
      <w:proofErr w:type="spellEnd"/>
      <w:r>
        <w:t xml:space="preserve"> </w:t>
      </w:r>
    </w:p>
    <w:p w14:paraId="4C308337" w14:textId="77777777" w:rsidR="004A4C7F" w:rsidRDefault="009F4A4F">
      <w:pPr>
        <w:spacing w:line="276" w:lineRule="auto"/>
        <w:rPr>
          <w:rFonts w:eastAsia="Arial"/>
        </w:rPr>
      </w:pPr>
      <w:r>
        <w:rPr>
          <w:rFonts w:eastAsia="Arial"/>
        </w:rPr>
        <w:t>Die Auswertung der Teilnahmeanträge erfolgt anhand den nachfolgend benannten Auswahlkriterien im Rahmen einer Bewertungsmatrix. Sie dient zum einen der objektiven, vollständigen Berücksichtigung der maßgeblichen Bewertungskriterien. Zum anderen wird durch die Anwendung der Bewertungsmatrix ein einheitlicher Bewertungsmaßstab sichergestellt.</w:t>
      </w:r>
    </w:p>
    <w:p w14:paraId="7C26AF44" w14:textId="77777777" w:rsidR="004A4C7F" w:rsidRDefault="009F4A4F">
      <w:pPr>
        <w:spacing w:line="276" w:lineRule="auto"/>
        <w:rPr>
          <w:rFonts w:eastAsia="Arial"/>
        </w:rPr>
      </w:pPr>
      <w:r>
        <w:rPr>
          <w:rFonts w:eastAsia="Arial"/>
        </w:rPr>
        <w:t xml:space="preserve">Für jedes Auswahlkriterium/Unterkriterium wird im Rahmen der Bewertungsmatrix je nach Erfüllung der in der Bewertungsmatrix festgelegten Maßgaben eine Bepunktung vorgenommen. </w:t>
      </w:r>
    </w:p>
    <w:p w14:paraId="731EBF2F" w14:textId="77777777" w:rsidR="004A4C7F" w:rsidRDefault="009F4A4F">
      <w:pPr>
        <w:spacing w:line="276" w:lineRule="auto"/>
        <w:rPr>
          <w:rFonts w:eastAsia="Arial"/>
        </w:rPr>
      </w:pPr>
      <w:r>
        <w:rPr>
          <w:rFonts w:eastAsia="Arial"/>
        </w:rPr>
        <w:t>Sofern nachfolgend nichts anderes ausgewiesen wird, kann für jedes Kriterium/Unterkriterium minimal der Erfüllungsgrad (EG) 1 und maximal der EG 3 erzielt werden. Sofern nachfolgend nichts anderes ausgewiesen wird, findet die Festlegung des erzielten Erfüllungsgrades zwischen dem minimalen und dem maximalen Erfüllungsgrad auf dem Wege einer linearen Interpolation statt. Hierbei kommt folgende Formel zum Einsatz:</w:t>
      </w:r>
    </w:p>
    <w:p w14:paraId="7D995519" w14:textId="77777777" w:rsidR="004A4C7F" w:rsidRDefault="009F4A4F">
      <w:pPr>
        <w:rPr>
          <w:rFonts w:asciiTheme="minorHAnsi" w:hAnsiTheme="minorHAnsi"/>
        </w:rPr>
      </w:pPr>
      <m:oMathPara>
        <m:oMath>
          <m:r>
            <w:rPr>
              <w:rFonts w:ascii="Cambria Math" w:hAnsi="Cambria Math"/>
            </w:rPr>
            <m:t>y=1+</m:t>
          </m:r>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num>
            <m:den>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den>
          </m:f>
          <m:r>
            <w:rPr>
              <w:rFonts w:ascii="Cambria Math" w:hAnsi="Cambria Math"/>
            </w:rPr>
            <m:t xml:space="preserve"> * (x-</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oMath>
      </m:oMathPara>
    </w:p>
    <w:p w14:paraId="7E6296FD" w14:textId="77777777" w:rsidR="004A4C7F" w:rsidRDefault="009F4A4F">
      <w:pPr>
        <w:spacing w:line="276" w:lineRule="auto"/>
        <w:rPr>
          <w:rFonts w:asciiTheme="minorHAnsi" w:eastAsia="Arial" w:hAnsiTheme="minorHAnsi"/>
        </w:rPr>
      </w:pPr>
      <w:r>
        <w:rPr>
          <w:rFonts w:asciiTheme="minorHAnsi" w:eastAsia="Arial" w:hAnsiTheme="minorHAnsi"/>
        </w:rPr>
        <w:t>Hierbei ist:</w:t>
      </w:r>
    </w:p>
    <w:p w14:paraId="2747724E" w14:textId="77777777" w:rsidR="004A4C7F" w:rsidRDefault="009F4A4F">
      <w:pPr>
        <w:spacing w:line="240" w:lineRule="auto"/>
        <w:ind w:left="708"/>
        <w:rPr>
          <w:rFonts w:eastAsia="Arial"/>
        </w:rPr>
      </w:pPr>
      <w:r>
        <w:rPr>
          <w:rFonts w:eastAsia="Arial"/>
        </w:rPr>
        <w:t>y = festzulegender Erfüllungsgrad</w:t>
      </w:r>
    </w:p>
    <w:p w14:paraId="7AF8E0B1" w14:textId="77777777" w:rsidR="004A4C7F" w:rsidRDefault="009F4A4F">
      <w:pPr>
        <w:spacing w:line="240" w:lineRule="auto"/>
        <w:ind w:left="708"/>
        <w:rPr>
          <w:rFonts w:eastAsia="Arial"/>
        </w:rPr>
      </w:pPr>
      <w:r>
        <w:rPr>
          <w:rFonts w:eastAsia="Arial"/>
        </w:rPr>
        <w:t>y1 = minimaler EG (Erfüllungsgrad 1)</w:t>
      </w:r>
    </w:p>
    <w:p w14:paraId="38D0D5A5" w14:textId="77777777" w:rsidR="004A4C7F" w:rsidRDefault="009F4A4F">
      <w:pPr>
        <w:spacing w:line="240" w:lineRule="auto"/>
        <w:ind w:left="708"/>
        <w:rPr>
          <w:rFonts w:eastAsia="Arial"/>
        </w:rPr>
      </w:pPr>
      <w:r>
        <w:rPr>
          <w:rFonts w:eastAsia="Arial"/>
        </w:rPr>
        <w:t>y2 = maximaler EG (Erfüllungsgrad 3)</w:t>
      </w:r>
    </w:p>
    <w:p w14:paraId="3EA0F1C9" w14:textId="77777777" w:rsidR="004A4C7F" w:rsidRDefault="009F4A4F">
      <w:pPr>
        <w:spacing w:line="240" w:lineRule="auto"/>
        <w:ind w:left="708"/>
        <w:rPr>
          <w:rFonts w:eastAsia="Arial"/>
        </w:rPr>
      </w:pPr>
      <w:r>
        <w:rPr>
          <w:rFonts w:eastAsia="Arial"/>
        </w:rPr>
        <w:t xml:space="preserve">x = das zu prüfende Angebot betreffender </w:t>
      </w:r>
      <w:proofErr w:type="spellStart"/>
      <w:r>
        <w:rPr>
          <w:rFonts w:eastAsia="Arial"/>
        </w:rPr>
        <w:t>kriteriumsspezifischer</w:t>
      </w:r>
      <w:proofErr w:type="spellEnd"/>
      <w:r>
        <w:rPr>
          <w:rFonts w:eastAsia="Arial"/>
        </w:rPr>
        <w:t xml:space="preserve"> Wert</w:t>
      </w:r>
    </w:p>
    <w:p w14:paraId="3F687380" w14:textId="77777777" w:rsidR="004A4C7F" w:rsidRDefault="009F4A4F">
      <w:pPr>
        <w:spacing w:line="240" w:lineRule="auto"/>
        <w:ind w:left="708"/>
        <w:rPr>
          <w:rFonts w:eastAsia="Arial"/>
        </w:rPr>
      </w:pPr>
      <w:r>
        <w:rPr>
          <w:rFonts w:eastAsia="Arial"/>
        </w:rPr>
        <w:t xml:space="preserve">x1 = minimaler </w:t>
      </w:r>
      <w:proofErr w:type="spellStart"/>
      <w:r>
        <w:rPr>
          <w:rFonts w:eastAsia="Arial"/>
        </w:rPr>
        <w:t>kriteriumsspezifischer</w:t>
      </w:r>
      <w:proofErr w:type="spellEnd"/>
      <w:r>
        <w:rPr>
          <w:rFonts w:eastAsia="Arial"/>
        </w:rPr>
        <w:t xml:space="preserve"> Wert</w:t>
      </w:r>
    </w:p>
    <w:p w14:paraId="2523DA48" w14:textId="77777777" w:rsidR="004A4C7F" w:rsidRDefault="009F4A4F">
      <w:pPr>
        <w:spacing w:line="240" w:lineRule="auto"/>
        <w:ind w:left="708"/>
        <w:rPr>
          <w:rFonts w:eastAsia="Arial"/>
        </w:rPr>
      </w:pPr>
      <w:r>
        <w:rPr>
          <w:rFonts w:eastAsia="Arial"/>
        </w:rPr>
        <w:lastRenderedPageBreak/>
        <w:t xml:space="preserve">x2 = maximaler </w:t>
      </w:r>
      <w:proofErr w:type="spellStart"/>
      <w:r>
        <w:rPr>
          <w:rFonts w:eastAsia="Arial"/>
        </w:rPr>
        <w:t>kriteriumsspezifischer</w:t>
      </w:r>
      <w:proofErr w:type="spellEnd"/>
      <w:r>
        <w:rPr>
          <w:rFonts w:eastAsia="Arial"/>
        </w:rPr>
        <w:t xml:space="preserve"> Wert</w:t>
      </w:r>
    </w:p>
    <w:p w14:paraId="3816F738" w14:textId="77777777" w:rsidR="004A4C7F" w:rsidRDefault="009F4A4F">
      <w:pPr>
        <w:spacing w:line="276" w:lineRule="auto"/>
        <w:rPr>
          <w:rFonts w:eastAsia="Arial"/>
        </w:rPr>
      </w:pPr>
      <w:r>
        <w:rPr>
          <w:rFonts w:eastAsia="Arial"/>
        </w:rPr>
        <w:t xml:space="preserve">Es erfolgt sodann eine Rundung auf die zweite Nachkommastelle. </w:t>
      </w:r>
    </w:p>
    <w:p w14:paraId="6416FDFA" w14:textId="77777777" w:rsidR="004A4C7F" w:rsidRDefault="009F4A4F">
      <w:pPr>
        <w:spacing w:line="276" w:lineRule="auto"/>
        <w:rPr>
          <w:rFonts w:eastAsia="Arial"/>
        </w:rPr>
      </w:pPr>
      <w:r>
        <w:rPr>
          <w:rFonts w:eastAsia="Arial"/>
        </w:rPr>
        <w:t xml:space="preserve">Für jedes Kriterium/Unterkriterium kann max. der Erfüllungsgrad 3 erzielt werden. </w:t>
      </w:r>
    </w:p>
    <w:p w14:paraId="611A4978" w14:textId="77777777" w:rsidR="004A4C7F" w:rsidRDefault="009F4A4F">
      <w:pPr>
        <w:spacing w:line="276" w:lineRule="auto"/>
        <w:rPr>
          <w:rFonts w:eastAsia="Arial"/>
        </w:rPr>
      </w:pPr>
      <w:r>
        <w:rPr>
          <w:rFonts w:eastAsia="Arial"/>
        </w:rPr>
        <w:t>Der jeweilig erzielte Erfüllungsgrad wird mit dem jeweiligen Gewichtungsfaktor multipliziert und die jeweiligen Produkte der einzelnen Auswahlkriterien abschließend addiert (Wertungssumme).</w:t>
      </w:r>
    </w:p>
    <w:tbl>
      <w:tblPr>
        <w:tblStyle w:val="Tabellenraster"/>
        <w:tblW w:w="0" w:type="auto"/>
        <w:tblLook w:val="04A0" w:firstRow="1" w:lastRow="0" w:firstColumn="1" w:lastColumn="0" w:noHBand="0" w:noVBand="1"/>
      </w:tblPr>
      <w:tblGrid>
        <w:gridCol w:w="9344"/>
      </w:tblGrid>
      <w:tr w:rsidR="004A4C7F" w14:paraId="6901D78C" w14:textId="77777777">
        <w:tc>
          <w:tcPr>
            <w:tcW w:w="9349" w:type="dxa"/>
            <w:shd w:val="clear" w:color="auto" w:fill="F2F2F2" w:themeFill="background1" w:themeFillShade="F2"/>
          </w:tcPr>
          <w:p w14:paraId="48815EC7" w14:textId="74A53130" w:rsidR="004A4C7F" w:rsidRDefault="009F4A4F">
            <w:pPr>
              <w:spacing w:line="240" w:lineRule="auto"/>
              <w:rPr>
                <w:sz w:val="22"/>
                <w:szCs w:val="22"/>
              </w:rPr>
            </w:pPr>
            <w:r>
              <w:rPr>
                <w:sz w:val="22"/>
                <w:szCs w:val="22"/>
              </w:rPr>
              <w:t>Beispielhaft sei das Kriterium „Anzahl Referenzen</w:t>
            </w:r>
            <w:r w:rsidR="00295220">
              <w:rPr>
                <w:sz w:val="22"/>
                <w:szCs w:val="22"/>
              </w:rPr>
              <w:t xml:space="preserve"> Fachplanung Technische Ausrüstung</w:t>
            </w:r>
            <w:r>
              <w:rPr>
                <w:sz w:val="22"/>
                <w:szCs w:val="22"/>
              </w:rPr>
              <w:t xml:space="preserve"> </w:t>
            </w:r>
            <w:r w:rsidR="00295220">
              <w:rPr>
                <w:sz w:val="22"/>
                <w:szCs w:val="22"/>
              </w:rPr>
              <w:t xml:space="preserve">mit erbrachten </w:t>
            </w:r>
            <w:r>
              <w:rPr>
                <w:sz w:val="22"/>
                <w:szCs w:val="22"/>
              </w:rPr>
              <w:t xml:space="preserve">LPH </w:t>
            </w:r>
            <w:r w:rsidR="00295220">
              <w:rPr>
                <w:sz w:val="22"/>
                <w:szCs w:val="22"/>
              </w:rPr>
              <w:t>2</w:t>
            </w:r>
            <w:r>
              <w:rPr>
                <w:sz w:val="22"/>
                <w:szCs w:val="22"/>
              </w:rPr>
              <w:t xml:space="preserve">-8; Fertigstellung </w:t>
            </w:r>
            <w:r w:rsidR="00AF51FB">
              <w:rPr>
                <w:sz w:val="22"/>
                <w:szCs w:val="22"/>
              </w:rPr>
              <w:t xml:space="preserve">der LPH 8 </w:t>
            </w:r>
            <w:r>
              <w:rPr>
                <w:sz w:val="22"/>
                <w:szCs w:val="22"/>
              </w:rPr>
              <w:t xml:space="preserve">in den letzten 5 Jahren“ dargestellt, wobei vom Bewerber </w:t>
            </w:r>
            <w:r w:rsidR="00295220">
              <w:rPr>
                <w:sz w:val="22"/>
                <w:szCs w:val="22"/>
              </w:rPr>
              <w:t>3</w:t>
            </w:r>
            <w:r>
              <w:rPr>
                <w:sz w:val="22"/>
                <w:szCs w:val="22"/>
              </w:rPr>
              <w:t xml:space="preserve"> wertbare Referenzen angegeben werden.</w:t>
            </w:r>
          </w:p>
          <w:p w14:paraId="261DDE7F" w14:textId="77777777" w:rsidR="004A4C7F" w:rsidRDefault="009F4A4F">
            <w:pPr>
              <w:spacing w:line="240" w:lineRule="auto"/>
              <w:ind w:left="708"/>
              <w:rPr>
                <w:sz w:val="22"/>
                <w:szCs w:val="22"/>
              </w:rPr>
            </w:pPr>
            <w:r>
              <w:rPr>
                <w:sz w:val="22"/>
                <w:szCs w:val="22"/>
              </w:rPr>
              <w:t>y = festzulegender Erfüllungsgrad</w:t>
            </w:r>
          </w:p>
          <w:p w14:paraId="62ED7EAF" w14:textId="77777777" w:rsidR="004A4C7F" w:rsidRDefault="009F4A4F">
            <w:pPr>
              <w:spacing w:line="240" w:lineRule="auto"/>
              <w:ind w:left="708"/>
              <w:rPr>
                <w:sz w:val="22"/>
                <w:szCs w:val="22"/>
              </w:rPr>
            </w:pPr>
            <w:r>
              <w:rPr>
                <w:sz w:val="22"/>
                <w:szCs w:val="22"/>
              </w:rPr>
              <w:t>y1 = minimaler EG (Erfüllungsgrad 1)</w:t>
            </w:r>
          </w:p>
          <w:p w14:paraId="4C21E387" w14:textId="77777777" w:rsidR="004A4C7F" w:rsidRDefault="009F4A4F">
            <w:pPr>
              <w:spacing w:line="240" w:lineRule="auto"/>
              <w:ind w:left="708"/>
              <w:rPr>
                <w:sz w:val="22"/>
                <w:szCs w:val="22"/>
              </w:rPr>
            </w:pPr>
            <w:r>
              <w:rPr>
                <w:sz w:val="22"/>
                <w:szCs w:val="22"/>
              </w:rPr>
              <w:t>y2 = maximaler EG (Erfüllungsgrad 3)</w:t>
            </w:r>
          </w:p>
          <w:p w14:paraId="4B2297B8" w14:textId="66E6BB96" w:rsidR="004A4C7F" w:rsidRDefault="009F4A4F">
            <w:pPr>
              <w:spacing w:line="240" w:lineRule="auto"/>
              <w:ind w:left="708"/>
              <w:rPr>
                <w:sz w:val="22"/>
                <w:szCs w:val="22"/>
              </w:rPr>
            </w:pPr>
            <w:r>
              <w:rPr>
                <w:sz w:val="22"/>
                <w:szCs w:val="22"/>
              </w:rPr>
              <w:t xml:space="preserve">x = das zu prüfende Angebot betreffender </w:t>
            </w:r>
            <w:proofErr w:type="spellStart"/>
            <w:r>
              <w:rPr>
                <w:sz w:val="22"/>
                <w:szCs w:val="22"/>
              </w:rPr>
              <w:t>kriteriumsspezifischer</w:t>
            </w:r>
            <w:proofErr w:type="spellEnd"/>
            <w:r>
              <w:rPr>
                <w:sz w:val="22"/>
                <w:szCs w:val="22"/>
              </w:rPr>
              <w:t xml:space="preserve"> Wert: hier: </w:t>
            </w:r>
            <w:r w:rsidR="00295220">
              <w:rPr>
                <w:sz w:val="22"/>
                <w:szCs w:val="22"/>
              </w:rPr>
              <w:t>3</w:t>
            </w:r>
          </w:p>
          <w:p w14:paraId="09235A58" w14:textId="77777777" w:rsidR="004A4C7F" w:rsidRDefault="009F4A4F">
            <w:pPr>
              <w:spacing w:line="240" w:lineRule="auto"/>
              <w:ind w:left="708"/>
              <w:rPr>
                <w:sz w:val="22"/>
                <w:szCs w:val="22"/>
              </w:rPr>
            </w:pPr>
            <w:r>
              <w:rPr>
                <w:sz w:val="22"/>
                <w:szCs w:val="22"/>
              </w:rPr>
              <w:t xml:space="preserve">x1 = minimaler </w:t>
            </w:r>
            <w:proofErr w:type="spellStart"/>
            <w:r>
              <w:rPr>
                <w:sz w:val="22"/>
                <w:szCs w:val="22"/>
              </w:rPr>
              <w:t>kriteriumsspezifischer</w:t>
            </w:r>
            <w:proofErr w:type="spellEnd"/>
            <w:r>
              <w:rPr>
                <w:sz w:val="22"/>
                <w:szCs w:val="22"/>
              </w:rPr>
              <w:t xml:space="preserve"> Wert: hier: 2</w:t>
            </w:r>
          </w:p>
          <w:p w14:paraId="2C4D960C" w14:textId="31F18AA3" w:rsidR="004A4C7F" w:rsidRDefault="009F4A4F">
            <w:pPr>
              <w:spacing w:line="240" w:lineRule="auto"/>
              <w:ind w:left="708"/>
              <w:rPr>
                <w:sz w:val="22"/>
                <w:szCs w:val="22"/>
              </w:rPr>
            </w:pPr>
            <w:r>
              <w:rPr>
                <w:sz w:val="22"/>
                <w:szCs w:val="22"/>
              </w:rPr>
              <w:t xml:space="preserve">x2 = maximaler </w:t>
            </w:r>
            <w:proofErr w:type="spellStart"/>
            <w:r>
              <w:rPr>
                <w:sz w:val="22"/>
                <w:szCs w:val="22"/>
              </w:rPr>
              <w:t>kriteriumsspezifischer</w:t>
            </w:r>
            <w:proofErr w:type="spellEnd"/>
            <w:r>
              <w:rPr>
                <w:sz w:val="22"/>
                <w:szCs w:val="22"/>
              </w:rPr>
              <w:t xml:space="preserve"> Wert: hier: </w:t>
            </w:r>
            <w:r w:rsidR="00295220">
              <w:rPr>
                <w:sz w:val="22"/>
                <w:szCs w:val="22"/>
              </w:rPr>
              <w:t>6</w:t>
            </w:r>
          </w:p>
          <w:p w14:paraId="3782070D" w14:textId="77777777" w:rsidR="004A4C7F" w:rsidRDefault="009F4A4F">
            <w:pPr>
              <w:spacing w:line="240" w:lineRule="auto"/>
              <w:rPr>
                <w:sz w:val="22"/>
                <w:szCs w:val="22"/>
              </w:rPr>
            </w:pPr>
            <w:r>
              <w:rPr>
                <w:sz w:val="22"/>
                <w:szCs w:val="22"/>
              </w:rPr>
              <w:t>In die Formel eingetragen:</w:t>
            </w:r>
          </w:p>
          <w:p w14:paraId="12555C83" w14:textId="77777777" w:rsidR="004A4C7F" w:rsidRDefault="004A4C7F">
            <w:pPr>
              <w:spacing w:line="240" w:lineRule="auto"/>
              <w:rPr>
                <w:sz w:val="22"/>
                <w:szCs w:val="22"/>
              </w:rPr>
            </w:pPr>
          </w:p>
          <w:p w14:paraId="6FCAB872" w14:textId="3CB8E49F" w:rsidR="004A4C7F" w:rsidRDefault="009F4A4F">
            <w:pPr>
              <w:rPr>
                <w:rFonts w:asciiTheme="minorHAnsi" w:hAnsiTheme="minorHAnsi"/>
              </w:rPr>
            </w:pPr>
            <m:oMathPara>
              <m:oMath>
                <m:r>
                  <w:rPr>
                    <w:rFonts w:ascii="Cambria Math" w:hAnsi="Cambria Math"/>
                  </w:rPr>
                  <m:t>y=1+</m:t>
                </m:r>
                <m:f>
                  <m:fPr>
                    <m:ctrlPr>
                      <w:rPr>
                        <w:rFonts w:ascii="Cambria Math" w:hAnsi="Cambria Math"/>
                        <w:i/>
                      </w:rPr>
                    </m:ctrlPr>
                  </m:fPr>
                  <m:num>
                    <m:r>
                      <w:rPr>
                        <w:rFonts w:ascii="Cambria Math" w:hAnsi="Cambria Math"/>
                      </w:rPr>
                      <m:t>3- 1</m:t>
                    </m:r>
                  </m:num>
                  <m:den>
                    <m:r>
                      <w:rPr>
                        <w:rFonts w:ascii="Cambria Math" w:hAnsi="Cambria Math"/>
                      </w:rPr>
                      <m:t>6-2</m:t>
                    </m:r>
                  </m:den>
                </m:f>
                <m:r>
                  <w:rPr>
                    <w:rFonts w:ascii="Cambria Math" w:hAnsi="Cambria Math"/>
                  </w:rPr>
                  <m:t xml:space="preserve"> * (3-2)</m:t>
                </m:r>
              </m:oMath>
            </m:oMathPara>
          </w:p>
          <w:p w14:paraId="4F12E9B8" w14:textId="77777777" w:rsidR="004A4C7F" w:rsidRDefault="004A4C7F">
            <w:pPr>
              <w:spacing w:line="240" w:lineRule="auto"/>
              <w:rPr>
                <w:sz w:val="22"/>
                <w:szCs w:val="22"/>
              </w:rPr>
            </w:pPr>
          </w:p>
          <w:p w14:paraId="239D1EDF" w14:textId="45F9665A" w:rsidR="004A4C7F" w:rsidRDefault="009F4A4F">
            <w:pPr>
              <w:spacing w:before="0" w:after="0" w:line="240" w:lineRule="auto"/>
              <w:rPr>
                <w:sz w:val="22"/>
                <w:szCs w:val="22"/>
              </w:rPr>
            </w:pPr>
            <w:r>
              <w:rPr>
                <w:sz w:val="22"/>
                <w:szCs w:val="22"/>
              </w:rPr>
              <w:t xml:space="preserve">y = 1 + </w:t>
            </w:r>
            <w:r w:rsidR="00295220">
              <w:rPr>
                <w:sz w:val="22"/>
                <w:szCs w:val="22"/>
              </w:rPr>
              <w:t>0,5</w:t>
            </w:r>
          </w:p>
          <w:p w14:paraId="5DB6217C" w14:textId="77777777" w:rsidR="004A4C7F" w:rsidRDefault="004A4C7F">
            <w:pPr>
              <w:spacing w:before="0" w:after="0" w:line="240" w:lineRule="auto"/>
              <w:rPr>
                <w:sz w:val="22"/>
                <w:szCs w:val="22"/>
              </w:rPr>
            </w:pPr>
          </w:p>
          <w:p w14:paraId="2F2F6F09" w14:textId="75045AFF" w:rsidR="004A4C7F" w:rsidRDefault="009F4A4F">
            <w:pPr>
              <w:spacing w:before="0" w:after="0" w:line="240" w:lineRule="auto"/>
              <w:rPr>
                <w:sz w:val="22"/>
                <w:szCs w:val="22"/>
              </w:rPr>
            </w:pPr>
            <w:r>
              <w:rPr>
                <w:sz w:val="22"/>
                <w:szCs w:val="22"/>
              </w:rPr>
              <w:t xml:space="preserve">y = </w:t>
            </w:r>
            <w:r w:rsidR="00295220">
              <w:rPr>
                <w:sz w:val="22"/>
                <w:szCs w:val="22"/>
              </w:rPr>
              <w:t>1,5</w:t>
            </w:r>
          </w:p>
          <w:p w14:paraId="49C36FB4" w14:textId="77777777" w:rsidR="004A4C7F" w:rsidRDefault="004A4C7F">
            <w:pPr>
              <w:spacing w:line="240" w:lineRule="auto"/>
              <w:rPr>
                <w:sz w:val="22"/>
                <w:szCs w:val="22"/>
              </w:rPr>
            </w:pPr>
          </w:p>
          <w:p w14:paraId="69A13883" w14:textId="7817DC34" w:rsidR="004A4C7F" w:rsidRDefault="009F4A4F">
            <w:pPr>
              <w:spacing w:line="240" w:lineRule="auto"/>
              <w:rPr>
                <w:rFonts w:eastAsia="Arial"/>
              </w:rPr>
            </w:pPr>
            <w:r>
              <w:rPr>
                <w:sz w:val="22"/>
                <w:szCs w:val="22"/>
              </w:rPr>
              <w:t xml:space="preserve">Multipliziert mit dem Gewichtungsfaktor </w:t>
            </w:r>
            <w:r w:rsidR="00295220">
              <w:rPr>
                <w:sz w:val="22"/>
                <w:szCs w:val="22"/>
              </w:rPr>
              <w:t>17,5</w:t>
            </w:r>
            <w:r w:rsidR="004276A9">
              <w:rPr>
                <w:sz w:val="22"/>
                <w:szCs w:val="22"/>
              </w:rPr>
              <w:t>0</w:t>
            </w:r>
            <w:r>
              <w:rPr>
                <w:sz w:val="22"/>
                <w:szCs w:val="22"/>
              </w:rPr>
              <w:t xml:space="preserve"> ergibt dies eine Bepunktung von 26</w:t>
            </w:r>
            <w:r w:rsidR="00295220">
              <w:rPr>
                <w:sz w:val="22"/>
                <w:szCs w:val="22"/>
              </w:rPr>
              <w:t>,25</w:t>
            </w:r>
            <w:r>
              <w:rPr>
                <w:sz w:val="22"/>
                <w:szCs w:val="22"/>
              </w:rPr>
              <w:t xml:space="preserve"> Punkten von max. </w:t>
            </w:r>
            <w:r w:rsidR="00295220">
              <w:rPr>
                <w:sz w:val="22"/>
                <w:szCs w:val="22"/>
              </w:rPr>
              <w:t>52,50</w:t>
            </w:r>
            <w:r>
              <w:rPr>
                <w:sz w:val="22"/>
                <w:szCs w:val="22"/>
              </w:rPr>
              <w:t xml:space="preserve"> Punkten.</w:t>
            </w:r>
          </w:p>
        </w:tc>
      </w:tr>
    </w:tbl>
    <w:p w14:paraId="06B70D86" w14:textId="77777777" w:rsidR="004A4C7F" w:rsidRDefault="004A4C7F">
      <w:pPr>
        <w:spacing w:line="276" w:lineRule="auto"/>
        <w:rPr>
          <w:rFonts w:eastAsia="Arial"/>
        </w:rPr>
      </w:pPr>
    </w:p>
    <w:p w14:paraId="378E843A" w14:textId="77777777" w:rsidR="004A4C7F" w:rsidRDefault="009F4A4F" w:rsidP="005F39E5">
      <w:pPr>
        <w:spacing w:line="276" w:lineRule="auto"/>
        <w:rPr>
          <w:rFonts w:eastAsia="Arial"/>
        </w:rPr>
      </w:pPr>
      <w:r>
        <w:rPr>
          <w:rFonts w:eastAsia="Arial"/>
        </w:rPr>
        <w:t>Hinsichtlich des jeweiligen Auswahlkriteriums gelten im Rahmen der Bewertungsmatrix folgende Erläuterungen:</w:t>
      </w:r>
    </w:p>
    <w:p w14:paraId="717387E6" w14:textId="5C301FD9" w:rsidR="004A4C7F" w:rsidRDefault="009F4A4F" w:rsidP="005F39E5">
      <w:pPr>
        <w:pStyle w:val="berschrift2"/>
      </w:pPr>
      <w:bookmarkStart w:id="23" w:name="_Toc81236476"/>
      <w:r>
        <w:t xml:space="preserve">Auswahlkriterien (Erläuterung zur </w:t>
      </w:r>
      <w:r w:rsidR="00295220">
        <w:t>Bewertungsmatrix Stufe 1 - Teilnahmewettbewerb</w:t>
      </w:r>
      <w:r>
        <w:t>)</w:t>
      </w:r>
    </w:p>
    <w:p w14:paraId="783172CB" w14:textId="77777777" w:rsidR="004A4C7F" w:rsidRDefault="009F4A4F" w:rsidP="005F39E5">
      <w:pPr>
        <w:spacing w:line="276" w:lineRule="auto"/>
        <w:rPr>
          <w:rFonts w:eastAsia="Arial"/>
        </w:rPr>
      </w:pPr>
      <w:r>
        <w:rPr>
          <w:rFonts w:eastAsia="Arial"/>
        </w:rPr>
        <w:t xml:space="preserve">Nach § 51 Abs. 1 S. 2 VgV gibt der Auftraggeber folgende Auswahlkriterien bekannt und definiert diese im nachfolgenden Abschnitt: </w:t>
      </w:r>
    </w:p>
    <w:p w14:paraId="1C0DD9D9" w14:textId="77777777" w:rsidR="004A4C7F" w:rsidRDefault="009F4A4F" w:rsidP="005F39E5">
      <w:pPr>
        <w:pStyle w:val="Listenabsatz"/>
        <w:numPr>
          <w:ilvl w:val="0"/>
          <w:numId w:val="2"/>
        </w:numPr>
        <w:spacing w:line="276" w:lineRule="auto"/>
        <w:rPr>
          <w:rFonts w:eastAsia="Arial"/>
        </w:rPr>
      </w:pPr>
      <w:r>
        <w:rPr>
          <w:rFonts w:eastAsia="Arial"/>
        </w:rPr>
        <w:t xml:space="preserve">Gesamtumsatz netto der letzten drei Geschäftsjahre </w:t>
      </w:r>
    </w:p>
    <w:p w14:paraId="594351DA" w14:textId="77777777" w:rsidR="004A4C7F" w:rsidRDefault="009F4A4F" w:rsidP="005F39E5">
      <w:pPr>
        <w:pStyle w:val="Listenabsatz"/>
        <w:numPr>
          <w:ilvl w:val="0"/>
          <w:numId w:val="2"/>
        </w:numPr>
        <w:spacing w:line="276" w:lineRule="auto"/>
        <w:rPr>
          <w:rFonts w:eastAsia="Arial"/>
        </w:rPr>
      </w:pPr>
      <w:r>
        <w:rPr>
          <w:rFonts w:eastAsia="Arial"/>
        </w:rPr>
        <w:t xml:space="preserve">Geeignete Referenzen betreffend vergleichbare Leistungen </w:t>
      </w:r>
    </w:p>
    <w:p w14:paraId="06A7F5C9" w14:textId="7623095E" w:rsidR="004A4C7F" w:rsidRDefault="009F4A4F" w:rsidP="005F39E5">
      <w:pPr>
        <w:pStyle w:val="berschrift3"/>
      </w:pPr>
      <w:r>
        <w:lastRenderedPageBreak/>
        <w:t>Kriterium „Gesamtumsatz der letzten 3 Geschäftsjahre (netto)“</w:t>
      </w:r>
      <w:bookmarkEnd w:id="23"/>
      <w:r w:rsidR="00275597">
        <w:t xml:space="preserve"> (Gewichtung 30,00)</w:t>
      </w:r>
    </w:p>
    <w:p w14:paraId="748CCE79" w14:textId="6D34822B" w:rsidR="004A4C7F" w:rsidRDefault="00275597" w:rsidP="005F39E5">
      <w:pPr>
        <w:spacing w:line="276" w:lineRule="auto"/>
        <w:rPr>
          <w:rFonts w:eastAsia="Arial"/>
        </w:rPr>
      </w:pPr>
      <w:r>
        <w:rPr>
          <w:rFonts w:eastAsia="Arial"/>
        </w:rPr>
        <w:t xml:space="preserve">Es gilt eine Gewichtung von 30,00 für dieses Kriterium. </w:t>
      </w:r>
      <w:r w:rsidR="009F4A4F">
        <w:rPr>
          <w:rFonts w:eastAsia="Arial"/>
        </w:rPr>
        <w:t xml:space="preserve">Hinsichtlich dieses Kriteriums erfolgt keine Aufgliederung in weitere Unterkriterien. </w:t>
      </w:r>
    </w:p>
    <w:p w14:paraId="58D9E979" w14:textId="77777777" w:rsidR="004A4C7F" w:rsidRDefault="009F4A4F" w:rsidP="005F39E5">
      <w:pPr>
        <w:spacing w:line="276" w:lineRule="auto"/>
        <w:rPr>
          <w:rFonts w:eastAsia="Arial"/>
        </w:rPr>
      </w:pPr>
      <w:r>
        <w:rPr>
          <w:rFonts w:eastAsia="Arial"/>
        </w:rPr>
        <w:t>Der Auftraggeber bewertet dieses Auswahlkriterium anhand des jährlichen Gesamtumsatzes des Bewerbers/der Bewerbergemeinschaft in den letzten 3 Geschäftsjahren.</w:t>
      </w:r>
    </w:p>
    <w:p w14:paraId="3ADEA7FD" w14:textId="1C60FF46" w:rsidR="004A4C7F" w:rsidRDefault="009F4A4F" w:rsidP="005F39E5">
      <w:pPr>
        <w:spacing w:line="276" w:lineRule="auto"/>
        <w:rPr>
          <w:rFonts w:eastAsia="Arial"/>
        </w:rPr>
      </w:pPr>
      <w:r>
        <w:rPr>
          <w:rFonts w:eastAsia="Arial"/>
        </w:rPr>
        <w:t>Maßgeblich sind die Umsatzzahlen in den letzten drei Geschäftsjahren. Sofern für das Jahr 202</w:t>
      </w:r>
      <w:r w:rsidR="00295220">
        <w:rPr>
          <w:rFonts w:eastAsia="Arial"/>
        </w:rPr>
        <w:t>5</w:t>
      </w:r>
      <w:r>
        <w:rPr>
          <w:rFonts w:eastAsia="Arial"/>
        </w:rPr>
        <w:t xml:space="preserve"> noch keine Zahlen vorliegen sollten, so weist der Bewerber darauf hin und gibt anstelle der Jahre 202</w:t>
      </w:r>
      <w:r w:rsidR="00295220">
        <w:rPr>
          <w:rFonts w:eastAsia="Arial"/>
        </w:rPr>
        <w:t>3</w:t>
      </w:r>
      <w:r>
        <w:rPr>
          <w:rFonts w:eastAsia="Arial"/>
        </w:rPr>
        <w:t>, 202</w:t>
      </w:r>
      <w:r w:rsidR="00295220">
        <w:rPr>
          <w:rFonts w:eastAsia="Arial"/>
        </w:rPr>
        <w:t>4</w:t>
      </w:r>
      <w:r>
        <w:rPr>
          <w:rFonts w:eastAsia="Arial"/>
        </w:rPr>
        <w:t>, 202</w:t>
      </w:r>
      <w:r w:rsidR="00295220">
        <w:rPr>
          <w:rFonts w:eastAsia="Arial"/>
        </w:rPr>
        <w:t>5</w:t>
      </w:r>
      <w:r>
        <w:rPr>
          <w:rFonts w:eastAsia="Arial"/>
        </w:rPr>
        <w:t xml:space="preserve"> die Jahre 202</w:t>
      </w:r>
      <w:r w:rsidR="00295220">
        <w:rPr>
          <w:rFonts w:eastAsia="Arial"/>
        </w:rPr>
        <w:t>2</w:t>
      </w:r>
      <w:r>
        <w:rPr>
          <w:rFonts w:eastAsia="Arial"/>
        </w:rPr>
        <w:t>, 202</w:t>
      </w:r>
      <w:r w:rsidR="00295220">
        <w:rPr>
          <w:rFonts w:eastAsia="Arial"/>
        </w:rPr>
        <w:t>3</w:t>
      </w:r>
      <w:r>
        <w:rPr>
          <w:rFonts w:eastAsia="Arial"/>
        </w:rPr>
        <w:t xml:space="preserve"> und 202</w:t>
      </w:r>
      <w:r w:rsidR="00295220">
        <w:rPr>
          <w:rFonts w:eastAsia="Arial"/>
        </w:rPr>
        <w:t>4</w:t>
      </w:r>
      <w:r>
        <w:rPr>
          <w:rFonts w:eastAsia="Arial"/>
        </w:rPr>
        <w:t xml:space="preserve"> an.</w:t>
      </w:r>
    </w:p>
    <w:p w14:paraId="0ADF775F" w14:textId="4CF3D686" w:rsidR="004A4C7F" w:rsidRDefault="009F4A4F" w:rsidP="005F39E5">
      <w:pPr>
        <w:spacing w:line="276" w:lineRule="auto"/>
        <w:rPr>
          <w:rFonts w:eastAsia="Arial"/>
        </w:rPr>
      </w:pPr>
      <w:r>
        <w:rPr>
          <w:rFonts w:eastAsia="Arial"/>
        </w:rPr>
        <w:t xml:space="preserve">Als Mindestanforderung muss je Geschäftsjahr ein Umsatz (netto) von </w:t>
      </w:r>
      <w:r w:rsidRPr="00276EE6">
        <w:rPr>
          <w:rFonts w:eastAsia="Arial"/>
        </w:rPr>
        <w:t xml:space="preserve">min. </w:t>
      </w:r>
      <w:r w:rsidR="00276EE6" w:rsidRPr="00276EE6">
        <w:rPr>
          <w:rFonts w:eastAsia="Arial"/>
        </w:rPr>
        <w:t xml:space="preserve">8.000.000,00 </w:t>
      </w:r>
      <w:r w:rsidRPr="00276EE6">
        <w:rPr>
          <w:rFonts w:eastAsia="Arial"/>
        </w:rPr>
        <w:t>€ erzielt worden sein. Teilnahmeanträge, die diese Mindestanforderung nicht erfüllen, werden ausgeschlossen</w:t>
      </w:r>
      <w:r>
        <w:rPr>
          <w:rFonts w:eastAsia="Arial"/>
        </w:rPr>
        <w:t xml:space="preserve">. Der Umsatzwert </w:t>
      </w:r>
      <w:r w:rsidR="00276EE6" w:rsidRPr="00276EE6">
        <w:rPr>
          <w:rFonts w:eastAsia="Arial"/>
        </w:rPr>
        <w:t xml:space="preserve">8.000.000,00 € </w:t>
      </w:r>
      <w:r>
        <w:rPr>
          <w:rFonts w:eastAsia="Arial"/>
        </w:rPr>
        <w:t xml:space="preserve">entspricht hierbei auch dem Erfüllungsgrad (EG) 1. Ab einem jährlichen Umsatz (netto) von ≥ </w:t>
      </w:r>
      <w:r w:rsidR="00276EE6">
        <w:rPr>
          <w:rFonts w:eastAsia="Arial"/>
        </w:rPr>
        <w:t>15</w:t>
      </w:r>
      <w:r w:rsidR="00295220">
        <w:rPr>
          <w:rFonts w:eastAsia="Arial"/>
        </w:rPr>
        <w:t>.0</w:t>
      </w:r>
      <w:r>
        <w:rPr>
          <w:rFonts w:eastAsia="Arial"/>
        </w:rPr>
        <w:t xml:space="preserve">00.000,00 € wird der maximale Erfüllungsgrad (EG) 3 erreicht. Ein höherer EG wird auch bei höheren Umsatzzahlen als </w:t>
      </w:r>
      <w:r w:rsidR="00276EE6">
        <w:rPr>
          <w:rFonts w:eastAsia="Arial"/>
        </w:rPr>
        <w:t>15</w:t>
      </w:r>
      <w:r w:rsidR="00295220">
        <w:rPr>
          <w:rFonts w:eastAsia="Arial"/>
        </w:rPr>
        <w:t>.0</w:t>
      </w:r>
      <w:r>
        <w:rPr>
          <w:rFonts w:eastAsia="Arial"/>
        </w:rPr>
        <w:t xml:space="preserve">00.000,00 € nicht vergeben. Umsatzwerte &gt; </w:t>
      </w:r>
      <w:r w:rsidR="00276EE6" w:rsidRPr="00276EE6">
        <w:rPr>
          <w:rFonts w:eastAsia="Arial"/>
        </w:rPr>
        <w:t xml:space="preserve">8.000.000,00 € </w:t>
      </w:r>
      <w:r>
        <w:rPr>
          <w:rFonts w:eastAsia="Arial"/>
        </w:rPr>
        <w:t xml:space="preserve">und &lt; </w:t>
      </w:r>
      <w:r w:rsidR="00276EE6">
        <w:rPr>
          <w:rFonts w:eastAsia="Arial"/>
        </w:rPr>
        <w:t>15</w:t>
      </w:r>
      <w:r w:rsidR="00295220">
        <w:rPr>
          <w:rFonts w:eastAsia="Arial"/>
        </w:rPr>
        <w:t>.0</w:t>
      </w:r>
      <w:r>
        <w:rPr>
          <w:rFonts w:eastAsia="Arial"/>
        </w:rPr>
        <w:t>00.000,00 € werden hinsichtlich des Erfüllungsgrades linear interpoliert.</w:t>
      </w:r>
    </w:p>
    <w:p w14:paraId="39F31E8D" w14:textId="77777777" w:rsidR="004A4C7F" w:rsidRDefault="009F4A4F" w:rsidP="005F39E5">
      <w:pPr>
        <w:spacing w:line="276" w:lineRule="auto"/>
        <w:rPr>
          <w:rFonts w:eastAsia="Arial"/>
        </w:rPr>
      </w:pPr>
      <w:r>
        <w:rPr>
          <w:rFonts w:eastAsia="Arial"/>
        </w:rPr>
        <w:t>Umsatzzahlen von Bewerbergemeinschaftsmitgliedern werden addiert. Umsatzanteile von beabsichtigten Nachunternehmern sind nicht mitzuerfassen, es sei denn, es liegt eine (entsprechend auszuweisende) Eignungsleihe vor.</w:t>
      </w:r>
    </w:p>
    <w:p w14:paraId="3EE7D30D" w14:textId="54B9CF5B" w:rsidR="004A4C7F" w:rsidRDefault="009F4A4F" w:rsidP="005F39E5">
      <w:pPr>
        <w:spacing w:line="276" w:lineRule="auto"/>
        <w:rPr>
          <w:rFonts w:eastAsia="Arial"/>
        </w:rPr>
      </w:pPr>
      <w:r>
        <w:rPr>
          <w:rFonts w:eastAsia="Arial"/>
        </w:rPr>
        <w:t xml:space="preserve">Es erfolgt eine Bepunktung des Umsatzes je Jahr (der letzten drei Geschäftsjahre). Der Jahreswert wird jeweils anhand des Erfüllungsgrades der Bewertungsmatrix bewertet und jeweils mit dem Gewichtungsfaktor </w:t>
      </w:r>
      <w:r w:rsidR="0090646E">
        <w:rPr>
          <w:rFonts w:eastAsia="Arial"/>
        </w:rPr>
        <w:t>10</w:t>
      </w:r>
      <w:r w:rsidR="0083174E">
        <w:rPr>
          <w:rFonts w:eastAsia="Arial"/>
        </w:rPr>
        <w:t>,00</w:t>
      </w:r>
      <w:r>
        <w:rPr>
          <w:rFonts w:eastAsia="Arial"/>
        </w:rPr>
        <w:t xml:space="preserve"> multipliziert. Die Punkte pro Jahr werden addiert. </w:t>
      </w:r>
    </w:p>
    <w:p w14:paraId="5E986CAB" w14:textId="77777777" w:rsidR="004A4C7F" w:rsidRDefault="009F4A4F" w:rsidP="005F39E5">
      <w:pPr>
        <w:spacing w:line="276" w:lineRule="auto"/>
        <w:rPr>
          <w:rFonts w:eastAsia="Arial"/>
        </w:rPr>
      </w:pPr>
      <w:r>
        <w:rPr>
          <w:rFonts w:eastAsia="Arial"/>
        </w:rPr>
        <w:t>„Krumme“ Punktwerte werden stets auf die zweite Nachkommastelle gerundet.</w:t>
      </w:r>
    </w:p>
    <w:p w14:paraId="188DB8E3" w14:textId="111C7785" w:rsidR="004A4C7F" w:rsidRDefault="009F4A4F" w:rsidP="005F39E5">
      <w:pPr>
        <w:spacing w:line="276" w:lineRule="auto"/>
        <w:rPr>
          <w:rFonts w:eastAsia="Arial"/>
        </w:rPr>
      </w:pPr>
      <w:r>
        <w:rPr>
          <w:rFonts w:eastAsia="Arial"/>
        </w:rPr>
        <w:t xml:space="preserve">Hier lassen sich maximal </w:t>
      </w:r>
      <w:r w:rsidR="0090646E">
        <w:rPr>
          <w:rFonts w:eastAsia="Arial"/>
        </w:rPr>
        <w:t>90</w:t>
      </w:r>
      <w:r w:rsidR="0083174E">
        <w:rPr>
          <w:rFonts w:eastAsia="Arial"/>
        </w:rPr>
        <w:t>,00</w:t>
      </w:r>
      <w:r>
        <w:rPr>
          <w:rFonts w:eastAsia="Arial"/>
        </w:rPr>
        <w:t xml:space="preserve"> von 300</w:t>
      </w:r>
      <w:r w:rsidR="0083174E">
        <w:rPr>
          <w:rFonts w:eastAsia="Arial"/>
        </w:rPr>
        <w:t>,00</w:t>
      </w:r>
      <w:r>
        <w:rPr>
          <w:rFonts w:eastAsia="Arial"/>
        </w:rPr>
        <w:t xml:space="preserve"> insgesamt möglichen Punkten erreichen.</w:t>
      </w:r>
    </w:p>
    <w:p w14:paraId="691D3C74" w14:textId="0FAE84BA" w:rsidR="004A4C7F" w:rsidRDefault="009F4A4F" w:rsidP="005F39E5">
      <w:pPr>
        <w:pStyle w:val="berschrift3"/>
      </w:pPr>
      <w:bookmarkStart w:id="24" w:name="_Toc81236478"/>
      <w:r>
        <w:t>Kriterium „Geeignete Referenzen Bewer</w:t>
      </w:r>
      <w:bookmarkEnd w:id="24"/>
      <w:r>
        <w:t>ber (Referenzobjekte betreffend vergleichbare Leistungen)</w:t>
      </w:r>
      <w:r w:rsidR="00B437D5">
        <w:t>“</w:t>
      </w:r>
      <w:r w:rsidR="00275597">
        <w:t xml:space="preserve"> (Gewichtung 70,00)</w:t>
      </w:r>
    </w:p>
    <w:p w14:paraId="21A53025" w14:textId="154C361D" w:rsidR="004A4C7F" w:rsidRDefault="009F4A4F" w:rsidP="005F39E5">
      <w:pPr>
        <w:spacing w:line="276" w:lineRule="auto"/>
      </w:pPr>
      <w:r>
        <w:t>Bei diesem Kriterium werden zur Konkretisierung Unterkriterien gebildet. Die Gewichtung von 70</w:t>
      </w:r>
      <w:r w:rsidR="0083174E">
        <w:t>,00</w:t>
      </w:r>
      <w:r>
        <w:t xml:space="preserve"> für das Oberkriterium wird hierbei auf die einzelnen Unterkriterien aufgeteilt. Es findet also keine zusätzliche Gewichtung des Kriteriums statt. Die Gesamtbepunktung von 210</w:t>
      </w:r>
      <w:r w:rsidR="0083174E">
        <w:t>,00</w:t>
      </w:r>
      <w:r>
        <w:t xml:space="preserve"> bleibt bestehen. </w:t>
      </w:r>
    </w:p>
    <w:p w14:paraId="5934B489" w14:textId="77777777" w:rsidR="004A4C7F" w:rsidRDefault="009F4A4F" w:rsidP="005F39E5">
      <w:pPr>
        <w:spacing w:line="276" w:lineRule="auto"/>
      </w:pPr>
      <w:r>
        <w:t>Es gelten folgende Unterkriterien:</w:t>
      </w:r>
    </w:p>
    <w:p w14:paraId="3ECC1747" w14:textId="1CBB925C" w:rsidR="00F409B7" w:rsidRDefault="00F409B7" w:rsidP="005F39E5">
      <w:pPr>
        <w:pStyle w:val="Listenabsatz"/>
        <w:numPr>
          <w:ilvl w:val="0"/>
          <w:numId w:val="16"/>
        </w:numPr>
        <w:spacing w:line="276" w:lineRule="auto"/>
        <w:rPr>
          <w:rFonts w:eastAsia="Arial"/>
        </w:rPr>
      </w:pPr>
      <w:bookmarkStart w:id="25" w:name="_Hlk216703195"/>
      <w:r>
        <w:rPr>
          <w:rFonts w:eastAsia="Arial"/>
        </w:rPr>
        <w:t xml:space="preserve">Referenzen der </w:t>
      </w:r>
      <w:r w:rsidRPr="00DD51B8">
        <w:rPr>
          <w:rFonts w:eastAsia="Arial"/>
        </w:rPr>
        <w:t xml:space="preserve">Fachplanung Technische Ausrüstung mit </w:t>
      </w:r>
      <w:r w:rsidR="00A60FC0">
        <w:rPr>
          <w:rFonts w:eastAsia="Arial"/>
        </w:rPr>
        <w:t xml:space="preserve">anrechenbaren Kosten </w:t>
      </w:r>
      <w:r w:rsidRPr="00DD51B8">
        <w:rPr>
          <w:rFonts w:eastAsia="Arial"/>
        </w:rPr>
        <w:t>i.H.v. min</w:t>
      </w:r>
      <w:r w:rsidR="00A60FC0">
        <w:rPr>
          <w:rFonts w:eastAsia="Arial"/>
        </w:rPr>
        <w:t xml:space="preserve">. </w:t>
      </w:r>
      <w:r w:rsidR="00A60FC0" w:rsidRPr="00141067">
        <w:rPr>
          <w:rFonts w:eastAsia="Arial"/>
        </w:rPr>
        <w:t>2</w:t>
      </w:r>
      <w:r w:rsidR="00B60CCB">
        <w:rPr>
          <w:rFonts w:eastAsia="Arial"/>
        </w:rPr>
        <w:t>5</w:t>
      </w:r>
      <w:r w:rsidR="00A60FC0" w:rsidRPr="00141067">
        <w:rPr>
          <w:rFonts w:eastAsia="Arial"/>
        </w:rPr>
        <w:t xml:space="preserve">.000.000,00 € </w:t>
      </w:r>
      <w:r w:rsidRPr="00DD51B8">
        <w:rPr>
          <w:rFonts w:eastAsia="Arial"/>
        </w:rPr>
        <w:t>netto (KG 400</w:t>
      </w:r>
      <w:r w:rsidR="00B60CCB">
        <w:rPr>
          <w:rFonts w:eastAsia="Arial"/>
        </w:rPr>
        <w:t xml:space="preserve"> und KG 550</w:t>
      </w:r>
      <w:r w:rsidRPr="00DD51B8">
        <w:rPr>
          <w:rFonts w:eastAsia="Arial"/>
        </w:rPr>
        <w:t>)</w:t>
      </w:r>
      <w:r>
        <w:rPr>
          <w:rFonts w:eastAsia="Arial"/>
        </w:rPr>
        <w:t xml:space="preserve"> (Gewichtungsfaktor 17,5</w:t>
      </w:r>
      <w:r w:rsidR="004276A9">
        <w:rPr>
          <w:rFonts w:eastAsia="Arial"/>
        </w:rPr>
        <w:t>0</w:t>
      </w:r>
      <w:r>
        <w:rPr>
          <w:rFonts w:eastAsia="Arial"/>
        </w:rPr>
        <w:t>)</w:t>
      </w:r>
    </w:p>
    <w:p w14:paraId="36A5DAA8" w14:textId="7C5E5F83" w:rsidR="00F409B7" w:rsidRDefault="00F409B7" w:rsidP="005F39E5">
      <w:pPr>
        <w:pStyle w:val="Listenabsatz"/>
        <w:numPr>
          <w:ilvl w:val="0"/>
          <w:numId w:val="16"/>
        </w:numPr>
        <w:spacing w:line="276" w:lineRule="auto"/>
        <w:rPr>
          <w:rFonts w:eastAsia="Arial"/>
        </w:rPr>
      </w:pPr>
      <w:r>
        <w:rPr>
          <w:rFonts w:eastAsia="Arial"/>
        </w:rPr>
        <w:t xml:space="preserve">Referenzen der </w:t>
      </w:r>
      <w:r w:rsidRPr="00DD51B8">
        <w:rPr>
          <w:rFonts w:eastAsia="Arial"/>
        </w:rPr>
        <w:t>Fachplanung Technische Ausrüstung</w:t>
      </w:r>
      <w:r>
        <w:rPr>
          <w:rFonts w:eastAsia="Arial"/>
        </w:rPr>
        <w:t xml:space="preserve"> mit erbrachten LPH 2-8; Fertigstellung</w:t>
      </w:r>
      <w:r w:rsidR="00B60CCB">
        <w:rPr>
          <w:rFonts w:eastAsia="Arial"/>
        </w:rPr>
        <w:t xml:space="preserve"> der LPH 8</w:t>
      </w:r>
      <w:r>
        <w:rPr>
          <w:rFonts w:eastAsia="Arial"/>
        </w:rPr>
        <w:t xml:space="preserve"> in den letzten 5 Jahren (Gewichtungsfaktor 17,5</w:t>
      </w:r>
      <w:r w:rsidR="004276A9">
        <w:rPr>
          <w:rFonts w:eastAsia="Arial"/>
        </w:rPr>
        <w:t>0</w:t>
      </w:r>
      <w:r>
        <w:rPr>
          <w:rFonts w:eastAsia="Arial"/>
        </w:rPr>
        <w:t>)</w:t>
      </w:r>
    </w:p>
    <w:p w14:paraId="13C22D09" w14:textId="05FC0AFD" w:rsidR="00F409B7" w:rsidRPr="00DD51B8" w:rsidRDefault="00F409B7" w:rsidP="005F39E5">
      <w:pPr>
        <w:pStyle w:val="Listenabsatz"/>
        <w:numPr>
          <w:ilvl w:val="0"/>
          <w:numId w:val="16"/>
        </w:numPr>
        <w:spacing w:line="276" w:lineRule="auto"/>
        <w:rPr>
          <w:rFonts w:eastAsia="Arial"/>
        </w:rPr>
      </w:pPr>
      <w:r>
        <w:rPr>
          <w:rFonts w:eastAsia="Arial"/>
        </w:rPr>
        <w:t xml:space="preserve">Referenzen der </w:t>
      </w:r>
      <w:r w:rsidRPr="00DD51B8">
        <w:rPr>
          <w:rFonts w:eastAsia="Arial"/>
        </w:rPr>
        <w:t>Fachplanung Technische Ausrüstung</w:t>
      </w:r>
      <w:r>
        <w:rPr>
          <w:rFonts w:eastAsia="Arial"/>
        </w:rPr>
        <w:t xml:space="preserve"> mit Quartiers- oder Campuscharakter (Gewichtungsfaktor 17,5</w:t>
      </w:r>
      <w:r w:rsidR="004276A9">
        <w:rPr>
          <w:rFonts w:eastAsia="Arial"/>
        </w:rPr>
        <w:t>0</w:t>
      </w:r>
      <w:r>
        <w:rPr>
          <w:rFonts w:eastAsia="Arial"/>
        </w:rPr>
        <w:t>)</w:t>
      </w:r>
    </w:p>
    <w:p w14:paraId="1B46691F" w14:textId="313E36C5" w:rsidR="00F409B7" w:rsidRPr="00DD51B8" w:rsidRDefault="00F409B7" w:rsidP="005F39E5">
      <w:pPr>
        <w:pStyle w:val="Listenabsatz"/>
        <w:numPr>
          <w:ilvl w:val="0"/>
          <w:numId w:val="16"/>
        </w:numPr>
        <w:spacing w:line="276" w:lineRule="auto"/>
        <w:rPr>
          <w:rFonts w:eastAsia="Arial"/>
          <w:color w:val="EE0000"/>
        </w:rPr>
      </w:pPr>
      <w:r w:rsidRPr="00DD51B8">
        <w:rPr>
          <w:rFonts w:eastAsia="Arial"/>
        </w:rPr>
        <w:lastRenderedPageBreak/>
        <w:t xml:space="preserve">Referenzen </w:t>
      </w:r>
      <w:r>
        <w:rPr>
          <w:rFonts w:eastAsia="Arial"/>
        </w:rPr>
        <w:t xml:space="preserve">der </w:t>
      </w:r>
      <w:r w:rsidRPr="00DD51B8">
        <w:rPr>
          <w:rFonts w:eastAsia="Arial"/>
        </w:rPr>
        <w:t xml:space="preserve">Fachplanung Technische Ausrüstung mit </w:t>
      </w:r>
      <w:r w:rsidRPr="008034F1">
        <w:rPr>
          <w:rFonts w:eastAsia="Arial"/>
        </w:rPr>
        <w:t>Planungsanforderungen min. HZ III</w:t>
      </w:r>
      <w:r w:rsidRPr="001E34A9">
        <w:rPr>
          <w:rFonts w:eastAsia="Arial"/>
        </w:rPr>
        <w:t xml:space="preserve"> </w:t>
      </w:r>
      <w:r>
        <w:rPr>
          <w:rFonts w:eastAsia="Arial"/>
        </w:rPr>
        <w:t>(Gewichtungsfaktor 17,5</w:t>
      </w:r>
      <w:r w:rsidR="004276A9">
        <w:rPr>
          <w:rFonts w:eastAsia="Arial"/>
        </w:rPr>
        <w:t>0</w:t>
      </w:r>
      <w:r>
        <w:rPr>
          <w:rFonts w:eastAsia="Arial"/>
        </w:rPr>
        <w:t>)</w:t>
      </w:r>
      <w:bookmarkEnd w:id="25"/>
    </w:p>
    <w:p w14:paraId="035794CA" w14:textId="77777777" w:rsidR="004A4C7F" w:rsidRDefault="009F4A4F" w:rsidP="005F39E5">
      <w:pPr>
        <w:spacing w:line="276" w:lineRule="auto"/>
      </w:pPr>
      <w:r>
        <w:t xml:space="preserve">Bei jeder eingereichten Referenz hat der Bewerber/die Bewerbergemeinschaft auf dem Musterformular für Referenzen anzukreuzen, auf welches Unterkriterium sich die Referenz bezieht. Eine Kumulierung der </w:t>
      </w:r>
      <w:proofErr w:type="spellStart"/>
      <w:r>
        <w:t>Unterkriteriumsbezüge</w:t>
      </w:r>
      <w:proofErr w:type="spellEnd"/>
      <w:r>
        <w:t xml:space="preserve"> (Mehrfachankreuzung) ist möglich. </w:t>
      </w:r>
    </w:p>
    <w:p w14:paraId="51F3CAF2" w14:textId="77777777" w:rsidR="004A4C7F" w:rsidRDefault="009F4A4F" w:rsidP="005F39E5">
      <w:pPr>
        <w:spacing w:line="276" w:lineRule="auto"/>
      </w:pPr>
      <w:r>
        <w:t xml:space="preserve">Der Bewerber/die Bewerbergemeinschaft ist bezüglich der Anzahl der beigebrachten Referenzen nicht beschränkt. </w:t>
      </w:r>
    </w:p>
    <w:p w14:paraId="10BD7D49" w14:textId="77777777" w:rsidR="004A4C7F" w:rsidRDefault="009F4A4F" w:rsidP="005F39E5">
      <w:pPr>
        <w:spacing w:line="276" w:lineRule="auto"/>
      </w:pPr>
      <w:r>
        <w:t xml:space="preserve">Sind die </w:t>
      </w:r>
      <w:proofErr w:type="spellStart"/>
      <w:r>
        <w:t>kriteriumsspezifischen</w:t>
      </w:r>
      <w:proofErr w:type="spellEnd"/>
      <w:r>
        <w:t xml:space="preserve"> Anforderungen für das Erreichen des EG 3 erbracht (z.B. durch den Nachweis einer entsprechenden Anzahl von Referenzen), erfolgt die Einstufung in den EG 3. Ggf. vorhandene weitere Referenzen führen in diesem Fall nicht zu einem noch höheren Erfüllungsgrad und somit auch nicht zu einer zusätzlichen Bepunktung. </w:t>
      </w:r>
    </w:p>
    <w:p w14:paraId="507C050D" w14:textId="77777777" w:rsidR="004A4C7F" w:rsidRDefault="009F4A4F" w:rsidP="005F39E5">
      <w:pPr>
        <w:spacing w:line="276" w:lineRule="auto"/>
      </w:pPr>
      <w:r>
        <w:t>Der Bewerber/die Bewerbergemeinschaft hat seine/ihre Referenzen durch Angabe einer laufenden Nummer auf dem Referenzdeckblatt zu priorisieren. Hiermit geht keine Beschränkung der Referenzanzahl einher.</w:t>
      </w:r>
      <w:r>
        <w:rPr>
          <w:b/>
        </w:rPr>
        <w:t xml:space="preserve"> </w:t>
      </w:r>
      <w:r>
        <w:t xml:space="preserve">Es wird dem Auftraggeber lediglich aufgezeigt, mit welchen Referenzen der Bewerber/die Bewerbergemeinschaft meint, hohe Erfüllungsgrade erreichen zu können. </w:t>
      </w:r>
    </w:p>
    <w:p w14:paraId="40DAB204" w14:textId="450F9B4F" w:rsidR="004A4C7F" w:rsidRDefault="009F4A4F" w:rsidP="005F39E5">
      <w:pPr>
        <w:shd w:val="clear" w:color="auto" w:fill="FFFFFF" w:themeFill="background1"/>
        <w:spacing w:line="276" w:lineRule="auto"/>
      </w:pPr>
      <w:r>
        <w:t xml:space="preserve">In zeitlicher Hinsicht bestehen die sich aus der Matrix und </w:t>
      </w:r>
      <w:r w:rsidR="004276A9">
        <w:t>der hiesigen Informationsunterlage</w:t>
      </w:r>
      <w:r>
        <w:t xml:space="preserve"> ergebenden Vorgaben. </w:t>
      </w:r>
    </w:p>
    <w:p w14:paraId="32F70149" w14:textId="77777777" w:rsidR="00F24970" w:rsidRPr="000047F8" w:rsidRDefault="00F24970" w:rsidP="00F24970">
      <w:pPr>
        <w:rPr>
          <w:bCs/>
        </w:rPr>
      </w:pPr>
      <w:r w:rsidRPr="00E927A4">
        <w:rPr>
          <w:bCs/>
        </w:rPr>
        <w:t xml:space="preserve">Maßgeblicher Anknüpfungspunkt für die Berechnung des Zeitkorridors ist der Tag des Ablaufs der Teilnahmeantragsabgabefrist. </w:t>
      </w:r>
      <w:r w:rsidRPr="000047F8">
        <w:rPr>
          <w:bCs/>
        </w:rPr>
        <w:t xml:space="preserve">Maßgeblich ist, dass bei der Referenz der Abschluss der </w:t>
      </w:r>
      <w:r>
        <w:rPr>
          <w:bCs/>
        </w:rPr>
        <w:t>Leistungsphase 8</w:t>
      </w:r>
      <w:r w:rsidRPr="000047F8">
        <w:rPr>
          <w:bCs/>
        </w:rPr>
        <w:t xml:space="preserve"> in diesen Zeitkorridor fällt. </w:t>
      </w:r>
    </w:p>
    <w:p w14:paraId="257274C9" w14:textId="638AD83E" w:rsidR="00F24970" w:rsidRPr="00F24970" w:rsidRDefault="00F24970" w:rsidP="00F24970">
      <w:pPr>
        <w:rPr>
          <w:bCs/>
        </w:rPr>
      </w:pPr>
      <w:r w:rsidRPr="00450B08">
        <w:rPr>
          <w:bCs/>
        </w:rPr>
        <w:t xml:space="preserve">Taugliche Referenzleistungen sind grds. nur solche Leistungen, die nicht nur beauftragt, sondern auch bereits erbracht wurden. Noch nicht abgeschlossene Leistungen sind daher grds. keine tauglichen Referenzen. Als Ausnahme von diesem Grundsatz gilt, dass Leistungen der Leistungsphase 9 noch andauern dürfen. </w:t>
      </w:r>
    </w:p>
    <w:p w14:paraId="13B98D00" w14:textId="77777777" w:rsidR="004A4C7F" w:rsidRDefault="009F4A4F" w:rsidP="005F39E5">
      <w:pPr>
        <w:spacing w:line="276" w:lineRule="auto"/>
      </w:pPr>
      <w:r>
        <w:t>Die jeweiligen Unterkriterien werden wie folgt erläutert.</w:t>
      </w:r>
    </w:p>
    <w:p w14:paraId="5062ECC6" w14:textId="6FD7BB12" w:rsidR="004A4C7F" w:rsidRDefault="009F4A4F" w:rsidP="005F39E5">
      <w:pPr>
        <w:pStyle w:val="berschrift4"/>
      </w:pPr>
      <w:r>
        <w:t>Referenzen im Bereich „</w:t>
      </w:r>
      <w:r w:rsidR="004276A9">
        <w:t>mit</w:t>
      </w:r>
      <w:r w:rsidR="006606D9">
        <w:t xml:space="preserve"> </w:t>
      </w:r>
      <w:r w:rsidR="00FE1774">
        <w:t>anrechenbaren Kosten</w:t>
      </w:r>
      <w:r w:rsidR="004276A9">
        <w:t xml:space="preserve"> i.H.v. min. </w:t>
      </w:r>
      <w:r w:rsidR="00FE1774" w:rsidRPr="00141067">
        <w:rPr>
          <w:rFonts w:eastAsia="Arial"/>
        </w:rPr>
        <w:t>2</w:t>
      </w:r>
      <w:r w:rsidR="008034F1">
        <w:rPr>
          <w:rFonts w:eastAsia="Arial"/>
        </w:rPr>
        <w:t>5</w:t>
      </w:r>
      <w:r w:rsidR="00FE1774" w:rsidRPr="00141067">
        <w:rPr>
          <w:rFonts w:eastAsia="Arial"/>
        </w:rPr>
        <w:t xml:space="preserve">.000.000,00 € </w:t>
      </w:r>
      <w:r w:rsidR="004276A9">
        <w:t>netto (KG 400</w:t>
      </w:r>
      <w:r w:rsidR="008034F1">
        <w:t xml:space="preserve"> und KG 550</w:t>
      </w:r>
      <w:r w:rsidR="004276A9">
        <w:t>)</w:t>
      </w:r>
      <w:r>
        <w:t xml:space="preserve">“ </w:t>
      </w:r>
    </w:p>
    <w:p w14:paraId="54AFC7DE" w14:textId="65D6F9D3" w:rsidR="004276A9" w:rsidRDefault="004276A9" w:rsidP="005F39E5">
      <w:pPr>
        <w:spacing w:line="276" w:lineRule="auto"/>
      </w:pPr>
      <w:r>
        <w:t xml:space="preserve">Bei dem Unterkriterium geht es darum, nachzuweisen, dass der Bewerber Erfahrung mit der Durchführung von Planungsleistungen im Bereich der Fachplanung Technische Ausrüstung mit vergleichbarem Kostenvolumen vorweisen kann. </w:t>
      </w:r>
    </w:p>
    <w:p w14:paraId="76938090" w14:textId="77777777" w:rsidR="004276A9" w:rsidRDefault="004276A9" w:rsidP="005F39E5">
      <w:pPr>
        <w:spacing w:line="276" w:lineRule="auto"/>
      </w:pPr>
      <w:r>
        <w:t>Beim Nachweis von 2 entsprechenden Referenzen erfolgt die Einordnung in den EG 1.</w:t>
      </w:r>
    </w:p>
    <w:p w14:paraId="13B80A41" w14:textId="07AA2175" w:rsidR="004276A9" w:rsidRDefault="004276A9" w:rsidP="005F39E5">
      <w:pPr>
        <w:spacing w:line="276" w:lineRule="auto"/>
      </w:pPr>
      <w:r>
        <w:t>Beim Nachweis von 6 oder mehr entsprechenden Referenzen erfolgt die Einordnung in den EG 3.</w:t>
      </w:r>
    </w:p>
    <w:p w14:paraId="166E0F7F" w14:textId="2F0F074B" w:rsidR="004276A9" w:rsidRDefault="004276A9" w:rsidP="005F39E5">
      <w:pPr>
        <w:spacing w:line="276" w:lineRule="auto"/>
      </w:pPr>
      <w:r>
        <w:t xml:space="preserve">Werden zwischen 2 und 6 entsprechende Referenzen nachgewiesen, erfolgt die Einordnung in den EG im Wege einer linearen Interpolation. </w:t>
      </w:r>
    </w:p>
    <w:p w14:paraId="1755313D" w14:textId="682C7A08" w:rsidR="004276A9" w:rsidRDefault="004276A9" w:rsidP="005F39E5">
      <w:pPr>
        <w:spacing w:line="276" w:lineRule="auto"/>
      </w:pPr>
      <w:r>
        <w:lastRenderedPageBreak/>
        <w:t xml:space="preserve">Der Erfüllungsgrad wird mit dem Gewichtungsfaktor 17,50 multipliziert. </w:t>
      </w:r>
    </w:p>
    <w:p w14:paraId="3A4EAA2E" w14:textId="77777777" w:rsidR="004276A9" w:rsidRDefault="004276A9" w:rsidP="005F39E5">
      <w:pPr>
        <w:spacing w:line="276" w:lineRule="auto"/>
      </w:pPr>
      <w:r>
        <w:t xml:space="preserve">„Krumme“ Punktwerte werden stets auf die zweite Nachkommastelle gerundet. </w:t>
      </w:r>
    </w:p>
    <w:p w14:paraId="72E6C479" w14:textId="0E4CC28C" w:rsidR="004A4C7F" w:rsidRDefault="004276A9" w:rsidP="005F39E5">
      <w:pPr>
        <w:spacing w:line="276" w:lineRule="auto"/>
      </w:pPr>
      <w:r>
        <w:t>Hier lassen sich maximal 52,50 von 300</w:t>
      </w:r>
      <w:r w:rsidR="0083174E">
        <w:t>,00</w:t>
      </w:r>
      <w:r>
        <w:t xml:space="preserve"> insgesamt möglichen Punkten erreichen</w:t>
      </w:r>
    </w:p>
    <w:p w14:paraId="1A0C4740" w14:textId="2864A384" w:rsidR="004A4C7F" w:rsidRDefault="009F4A4F" w:rsidP="005F39E5">
      <w:pPr>
        <w:pStyle w:val="berschrift4"/>
      </w:pPr>
      <w:r>
        <w:t>Referenzen im Bereich „</w:t>
      </w:r>
      <w:r w:rsidR="004276A9" w:rsidRPr="004276A9">
        <w:t xml:space="preserve">mit erbrachten Leistungsphasen 2-8; Fertigstellung </w:t>
      </w:r>
      <w:r w:rsidR="008034F1">
        <w:t xml:space="preserve">der LPH 8 </w:t>
      </w:r>
      <w:r w:rsidR="004276A9" w:rsidRPr="004276A9">
        <w:t>in den letzten 5 Jahren</w:t>
      </w:r>
      <w:r>
        <w:rPr>
          <w:rFonts w:eastAsia="Calibri" w:cs="Calibri"/>
        </w:rPr>
        <w:t>“</w:t>
      </w:r>
    </w:p>
    <w:p w14:paraId="7E8BA505" w14:textId="6B8C34D7" w:rsidR="004276A9" w:rsidRDefault="004276A9" w:rsidP="005F39E5">
      <w:pPr>
        <w:spacing w:line="276" w:lineRule="auto"/>
      </w:pPr>
      <w:r>
        <w:t xml:space="preserve">Bei dem Unterkriterium geht es darum, nachzuweisen, dass der Bewerber Erfahrung mit der Durchführung von Planungsleistungen im Bereich der Fachplanung Technische Ausrüstung in den LPH 2-8 in den letzten 5 Jahren vorweisen kann. </w:t>
      </w:r>
    </w:p>
    <w:p w14:paraId="4E46AF85" w14:textId="77777777" w:rsidR="004276A9" w:rsidRDefault="004276A9" w:rsidP="005F39E5">
      <w:pPr>
        <w:spacing w:line="276" w:lineRule="auto"/>
      </w:pPr>
      <w:r>
        <w:t>Beim Nachweis von 2 entsprechenden Referenzen erfolgt die Einordnung in den EG 1.</w:t>
      </w:r>
    </w:p>
    <w:p w14:paraId="08C86127" w14:textId="098AF07F" w:rsidR="004276A9" w:rsidRDefault="004276A9" w:rsidP="005F39E5">
      <w:pPr>
        <w:spacing w:line="276" w:lineRule="auto"/>
        <w:rPr>
          <w:rFonts w:cs="Calibri"/>
        </w:rPr>
      </w:pPr>
      <w:r>
        <w:rPr>
          <w:rFonts w:cs="Calibri"/>
        </w:rPr>
        <w:t>Beim Nachweis von 6 oder mehr entsprechenden Referenzen erfolgt die Einordnung in den EG 3.</w:t>
      </w:r>
    </w:p>
    <w:p w14:paraId="0A43D4DC" w14:textId="4DE749DE" w:rsidR="004276A9" w:rsidRDefault="004276A9" w:rsidP="005F39E5">
      <w:pPr>
        <w:spacing w:line="276" w:lineRule="auto"/>
        <w:rPr>
          <w:rFonts w:cs="Calibri"/>
        </w:rPr>
      </w:pPr>
      <w:r>
        <w:rPr>
          <w:rFonts w:cs="Calibri"/>
        </w:rPr>
        <w:t xml:space="preserve">Werden zwischen 2 und 6 entsprechende Referenzen nachgewiesen, erfolgt die Einordnung in den EG im Wege einer linearen Interpolation. </w:t>
      </w:r>
    </w:p>
    <w:p w14:paraId="6749BE88" w14:textId="30AC9713" w:rsidR="004276A9" w:rsidRDefault="004276A9" w:rsidP="005F39E5">
      <w:pPr>
        <w:spacing w:line="276" w:lineRule="auto"/>
        <w:rPr>
          <w:rFonts w:cs="Calibri"/>
        </w:rPr>
      </w:pPr>
      <w:r>
        <w:rPr>
          <w:rFonts w:cs="Calibri"/>
        </w:rPr>
        <w:t xml:space="preserve">Der Erfüllungsgrad wird mit dem Gewichtungsfaktor 17,50 multipliziert. </w:t>
      </w:r>
    </w:p>
    <w:p w14:paraId="131F539B" w14:textId="77777777" w:rsidR="004276A9" w:rsidRDefault="004276A9" w:rsidP="005F39E5">
      <w:pPr>
        <w:spacing w:line="276" w:lineRule="auto"/>
        <w:rPr>
          <w:rFonts w:cs="Calibri"/>
        </w:rPr>
      </w:pPr>
      <w:r>
        <w:rPr>
          <w:rFonts w:cs="Calibri"/>
        </w:rPr>
        <w:t xml:space="preserve">„Krumme“ Punktwerte werden stets auf die zweite Nachkommastelle gerundet. </w:t>
      </w:r>
    </w:p>
    <w:p w14:paraId="55488857" w14:textId="211724EB" w:rsidR="004276A9" w:rsidRDefault="004276A9" w:rsidP="005F39E5">
      <w:pPr>
        <w:spacing w:line="276" w:lineRule="auto"/>
      </w:pPr>
      <w:r>
        <w:rPr>
          <w:rFonts w:cs="Calibri"/>
        </w:rPr>
        <w:t>Hier lassen sich maximal 52,50 von 300</w:t>
      </w:r>
      <w:r w:rsidR="0083174E">
        <w:rPr>
          <w:rFonts w:cs="Calibri"/>
        </w:rPr>
        <w:t>,00</w:t>
      </w:r>
      <w:r>
        <w:rPr>
          <w:rFonts w:cs="Calibri"/>
        </w:rPr>
        <w:t xml:space="preserve"> insgesamt möglichen Punkten erreichen</w:t>
      </w:r>
    </w:p>
    <w:p w14:paraId="7175A567" w14:textId="2F37EFB0" w:rsidR="004276A9" w:rsidRDefault="004276A9" w:rsidP="005F39E5">
      <w:pPr>
        <w:pStyle w:val="berschrift4"/>
      </w:pPr>
      <w:r>
        <w:t>Referenzen im Bereich „</w:t>
      </w:r>
      <w:r w:rsidR="006606D9">
        <w:t xml:space="preserve">mit </w:t>
      </w:r>
      <w:r>
        <w:t>Quartier- oder Campuscharakter“</w:t>
      </w:r>
    </w:p>
    <w:p w14:paraId="69015F3B" w14:textId="22DF923F" w:rsidR="004276A9" w:rsidRDefault="004276A9" w:rsidP="005F39E5">
      <w:pPr>
        <w:spacing w:line="276" w:lineRule="auto"/>
      </w:pPr>
      <w:r>
        <w:t xml:space="preserve">Bei dem Unterkriterium geht es darum, nachzuweisen, dass der Bewerber Erfahrung mit der Durchführung von Planungsleistungen im Bereich der Fachplanung Technische Ausrüstung mit vergleichbarem Planungscharakter vorweisen kann. </w:t>
      </w:r>
    </w:p>
    <w:p w14:paraId="74AF3BC3" w14:textId="77777777" w:rsidR="004276A9" w:rsidRDefault="004276A9" w:rsidP="005F39E5">
      <w:pPr>
        <w:spacing w:line="276" w:lineRule="auto"/>
      </w:pPr>
      <w:r>
        <w:t>Beim Nachweis von 2 entsprechenden Referenzen erfolgt die Einordnung in den EG 1.</w:t>
      </w:r>
    </w:p>
    <w:p w14:paraId="0194A62C" w14:textId="1ED93D85" w:rsidR="004276A9" w:rsidRDefault="004276A9" w:rsidP="005F39E5">
      <w:pPr>
        <w:spacing w:line="276" w:lineRule="auto"/>
      </w:pPr>
      <w:r>
        <w:t>Beim Nachweis von 6 oder mehr entsprechenden Referenzen erfolgt die Einordnung in den EG 3.</w:t>
      </w:r>
    </w:p>
    <w:p w14:paraId="3EB7A30D" w14:textId="7081E5FF" w:rsidR="004276A9" w:rsidRDefault="004276A9" w:rsidP="005F39E5">
      <w:pPr>
        <w:spacing w:line="276" w:lineRule="auto"/>
      </w:pPr>
      <w:r>
        <w:t xml:space="preserve">Werden zwischen 2 und 6 entsprechende Referenzen nachgewiesen, erfolgt die Einordnung in den EG im Wege einer linearen Interpolation. </w:t>
      </w:r>
    </w:p>
    <w:p w14:paraId="25F704FD" w14:textId="34DD5ADA" w:rsidR="004276A9" w:rsidRDefault="004276A9" w:rsidP="005F39E5">
      <w:pPr>
        <w:spacing w:line="276" w:lineRule="auto"/>
      </w:pPr>
      <w:r>
        <w:t xml:space="preserve">Der Erfüllungsgrad wird mit dem Gewichtungsfaktor 17,50 multipliziert. </w:t>
      </w:r>
    </w:p>
    <w:p w14:paraId="108725FF" w14:textId="77777777" w:rsidR="004276A9" w:rsidRDefault="004276A9" w:rsidP="005F39E5">
      <w:pPr>
        <w:spacing w:line="276" w:lineRule="auto"/>
      </w:pPr>
      <w:r>
        <w:t xml:space="preserve">„Krumme“ Punktwerte werden stets auf die zweite Nachkommastelle gerundet. </w:t>
      </w:r>
    </w:p>
    <w:p w14:paraId="469A9A30" w14:textId="4B15E5CC" w:rsidR="004276A9" w:rsidRDefault="004276A9" w:rsidP="005F39E5">
      <w:pPr>
        <w:spacing w:line="276" w:lineRule="auto"/>
      </w:pPr>
      <w:r>
        <w:t>Hier lassen sich maximal 52,50 von 300</w:t>
      </w:r>
      <w:r w:rsidR="0083174E">
        <w:t>,00</w:t>
      </w:r>
      <w:r>
        <w:t xml:space="preserve"> insgesamt möglichen Punkten erreichen.</w:t>
      </w:r>
    </w:p>
    <w:p w14:paraId="3389EA84" w14:textId="14209435" w:rsidR="004A4C7F" w:rsidRPr="003766CA" w:rsidRDefault="009F4A4F" w:rsidP="005F39E5">
      <w:pPr>
        <w:pStyle w:val="berschrift4"/>
      </w:pPr>
      <w:r>
        <w:t>Referenzen im Bereich „</w:t>
      </w:r>
      <w:r w:rsidR="00E67ADC">
        <w:t xml:space="preserve">mit </w:t>
      </w:r>
      <w:r>
        <w:rPr>
          <w:rFonts w:eastAsia="Calibri" w:cs="Calibri"/>
        </w:rPr>
        <w:t xml:space="preserve">min. </w:t>
      </w:r>
      <w:r w:rsidRPr="00206C56">
        <w:rPr>
          <w:rFonts w:eastAsia="Calibri" w:cs="Calibri"/>
        </w:rPr>
        <w:t xml:space="preserve">durchschnittliche </w:t>
      </w:r>
      <w:r w:rsidRPr="003766CA">
        <w:rPr>
          <w:rFonts w:eastAsia="Calibri" w:cs="Calibri"/>
        </w:rPr>
        <w:t>Planungsanforderungen HZ III“</w:t>
      </w:r>
      <w:bookmarkEnd w:id="13"/>
    </w:p>
    <w:p w14:paraId="4CF6ABF5" w14:textId="0B843E33" w:rsidR="004A4C7F" w:rsidRDefault="009F4A4F" w:rsidP="005F39E5">
      <w:pPr>
        <w:spacing w:line="276" w:lineRule="auto"/>
      </w:pPr>
      <w:r>
        <w:t xml:space="preserve">Bei dem Unterkriterium geht es darum, nachzuweisen, dass der Bewerber Erfahrung mit der Durchführung von Planungsleistungen im Bereich der </w:t>
      </w:r>
      <w:r w:rsidR="00CA6F04">
        <w:t xml:space="preserve">Fachplanung Technische Ausrüstung </w:t>
      </w:r>
      <w:r>
        <w:t xml:space="preserve">mit vergleichbaren durchschnittlichen Planungsanforderungen vorweisen kann. </w:t>
      </w:r>
    </w:p>
    <w:p w14:paraId="2E2FC653" w14:textId="77777777" w:rsidR="004A4C7F" w:rsidRDefault="009F4A4F" w:rsidP="005F39E5">
      <w:pPr>
        <w:spacing w:line="276" w:lineRule="auto"/>
      </w:pPr>
      <w:r>
        <w:t>Beim Nachweis von 2 entsprechenden Referenzen erfolgt die Einordnung in den EG 1.</w:t>
      </w:r>
    </w:p>
    <w:p w14:paraId="79D81C57" w14:textId="66690F08" w:rsidR="004A4C7F" w:rsidRDefault="009F4A4F" w:rsidP="005F39E5">
      <w:pPr>
        <w:spacing w:line="276" w:lineRule="auto"/>
      </w:pPr>
      <w:r>
        <w:lastRenderedPageBreak/>
        <w:t xml:space="preserve">Beim Nachweis von </w:t>
      </w:r>
      <w:r w:rsidR="00CA6F04">
        <w:t>6</w:t>
      </w:r>
      <w:r>
        <w:t xml:space="preserve"> oder mehr entsprechenden Referenzen erfolgt die Einordnung in den EG 3.</w:t>
      </w:r>
    </w:p>
    <w:p w14:paraId="72C42CAA" w14:textId="31A970E2" w:rsidR="004A4C7F" w:rsidRDefault="009F4A4F" w:rsidP="005F39E5">
      <w:pPr>
        <w:spacing w:line="276" w:lineRule="auto"/>
      </w:pPr>
      <w:r>
        <w:t xml:space="preserve">Werden zwischen 2 und </w:t>
      </w:r>
      <w:r w:rsidR="00CA6F04">
        <w:t>6</w:t>
      </w:r>
      <w:r>
        <w:t xml:space="preserve"> entsprechende Referenzen nachgewiesen, erfolgt die Einordnung in den EG im Wege einer linearen Interpolation. </w:t>
      </w:r>
    </w:p>
    <w:p w14:paraId="6AF267B9" w14:textId="62812034" w:rsidR="004A4C7F" w:rsidRDefault="009F4A4F" w:rsidP="005F39E5">
      <w:pPr>
        <w:spacing w:line="276" w:lineRule="auto"/>
      </w:pPr>
      <w:r>
        <w:t>Der Erfüllungsgrad wird mit dem Gewichtungsfaktor 1</w:t>
      </w:r>
      <w:r w:rsidR="00CA6F04">
        <w:t>7,50</w:t>
      </w:r>
      <w:r>
        <w:t xml:space="preserve"> multipliziert. </w:t>
      </w:r>
    </w:p>
    <w:p w14:paraId="708208AF" w14:textId="77777777" w:rsidR="004A4C7F" w:rsidRDefault="009F4A4F" w:rsidP="005F39E5">
      <w:pPr>
        <w:spacing w:line="276" w:lineRule="auto"/>
      </w:pPr>
      <w:r>
        <w:t xml:space="preserve">„Krumme“ Punktwerte werden stets auf die zweite Nachkommastelle gerundet. </w:t>
      </w:r>
    </w:p>
    <w:p w14:paraId="479411BE" w14:textId="626CF9C1" w:rsidR="004A4C7F" w:rsidRDefault="009F4A4F" w:rsidP="005F39E5">
      <w:pPr>
        <w:spacing w:line="276" w:lineRule="auto"/>
      </w:pPr>
      <w:r>
        <w:t xml:space="preserve">Hier lassen sich maximal </w:t>
      </w:r>
      <w:r w:rsidR="00CA6F04">
        <w:t>52,50</w:t>
      </w:r>
      <w:r>
        <w:t xml:space="preserve"> von 300</w:t>
      </w:r>
      <w:r w:rsidR="0083174E">
        <w:t>,00</w:t>
      </w:r>
      <w:r>
        <w:t xml:space="preserve"> insgesamt möglichen Punkten erreichen.</w:t>
      </w:r>
    </w:p>
    <w:p w14:paraId="0CD835D0" w14:textId="77777777" w:rsidR="00CA6F04" w:rsidRDefault="00CA6F04" w:rsidP="005F39E5">
      <w:pPr>
        <w:pStyle w:val="berschrift1"/>
        <w:spacing w:line="276" w:lineRule="auto"/>
        <w:ind w:left="432" w:hanging="432"/>
      </w:pPr>
      <w:bookmarkStart w:id="26" w:name="_Toc182381881"/>
      <w:r>
        <w:t>Beschreibung und Umfang der geplanten Maßnahme</w:t>
      </w:r>
    </w:p>
    <w:p w14:paraId="30785DF9" w14:textId="4FB809CD" w:rsidR="0066492C" w:rsidRDefault="00CA6F04" w:rsidP="005F39E5">
      <w:pPr>
        <w:rPr>
          <w:rFonts w:eastAsia="Calibri" w:cs="Calibri"/>
          <w:color w:val="000000"/>
        </w:rPr>
      </w:pPr>
      <w:r>
        <w:rPr>
          <w:rFonts w:eastAsia="Calibri" w:cs="Calibri"/>
          <w:color w:val="000000"/>
        </w:rPr>
        <w:t>Einzelheiten zum Projekt sowie den auszuführenden Leistungen sind der Leistungsbeschreibung und dem Vertrag zu entnehmen.</w:t>
      </w:r>
    </w:p>
    <w:p w14:paraId="3DC7F1A0" w14:textId="3E786ED0" w:rsidR="0066492C" w:rsidRDefault="0066492C" w:rsidP="005F39E5">
      <w:pPr>
        <w:pStyle w:val="berschrift1"/>
        <w:spacing w:line="276" w:lineRule="auto"/>
        <w:ind w:left="432" w:hanging="432"/>
      </w:pPr>
      <w:r>
        <w:t>Zuschlagskriterien (vgl. auch Bewertungsmatrix Stufe 2 – Angebotsphase)</w:t>
      </w:r>
    </w:p>
    <w:p w14:paraId="02ED0716" w14:textId="56575AAA" w:rsidR="0066492C" w:rsidRDefault="0066492C" w:rsidP="005F39E5">
      <w:pPr>
        <w:rPr>
          <w:lang w:eastAsia="en-US"/>
        </w:rPr>
      </w:pPr>
      <w:r>
        <w:rPr>
          <w:lang w:eastAsia="en-US"/>
        </w:rPr>
        <w:t>Die Zuschlagskriterien werden wie folgt festgelegt:</w:t>
      </w:r>
    </w:p>
    <w:p w14:paraId="19970BA8" w14:textId="7C9D3344" w:rsidR="0066492C" w:rsidRDefault="0066492C" w:rsidP="005F39E5">
      <w:pPr>
        <w:pStyle w:val="Listenabsatz"/>
        <w:numPr>
          <w:ilvl w:val="0"/>
          <w:numId w:val="17"/>
        </w:numPr>
        <w:rPr>
          <w:lang w:eastAsia="en-US"/>
        </w:rPr>
      </w:pPr>
      <w:r>
        <w:rPr>
          <w:lang w:eastAsia="en-US"/>
        </w:rPr>
        <w:t>Qualität (Gewichtungsfaktor 60, davon):</w:t>
      </w:r>
    </w:p>
    <w:p w14:paraId="1268F412" w14:textId="77777777" w:rsidR="0066492C" w:rsidRDefault="0066492C" w:rsidP="005F39E5">
      <w:pPr>
        <w:pStyle w:val="Listenabsatz"/>
        <w:numPr>
          <w:ilvl w:val="0"/>
          <w:numId w:val="18"/>
        </w:numPr>
        <w:rPr>
          <w:lang w:eastAsia="en-US"/>
        </w:rPr>
      </w:pPr>
      <w:r>
        <w:rPr>
          <w:lang w:eastAsia="en-US"/>
        </w:rPr>
        <w:t>Persönliche Referenzen des vorgesehenen Projektverantwortlichen (Gewichtungsfaktor 30)</w:t>
      </w:r>
    </w:p>
    <w:p w14:paraId="7DC965F8" w14:textId="2F81AD2E" w:rsidR="0066492C" w:rsidRDefault="0066492C" w:rsidP="005F39E5">
      <w:pPr>
        <w:pStyle w:val="Listenabsatz"/>
        <w:numPr>
          <w:ilvl w:val="0"/>
          <w:numId w:val="18"/>
        </w:numPr>
        <w:rPr>
          <w:lang w:eastAsia="en-US"/>
        </w:rPr>
      </w:pPr>
      <w:r>
        <w:rPr>
          <w:lang w:eastAsia="en-US"/>
        </w:rPr>
        <w:t>Konzept (Gewichtungsfaktor 30)</w:t>
      </w:r>
      <w:r w:rsidR="00B47E04">
        <w:rPr>
          <w:lang w:eastAsia="en-US"/>
        </w:rPr>
        <w:t xml:space="preserve">, in welchem Ausführungen zu den folgenden Punkten enthalten sein müssen: </w:t>
      </w:r>
    </w:p>
    <w:p w14:paraId="23C8BD4F" w14:textId="77777777" w:rsidR="00B47E04" w:rsidRDefault="00B47E04" w:rsidP="00B47E04">
      <w:pPr>
        <w:pStyle w:val="Listenabsatz"/>
        <w:numPr>
          <w:ilvl w:val="1"/>
          <w:numId w:val="18"/>
        </w:numPr>
        <w:rPr>
          <w:lang w:eastAsia="en-US"/>
        </w:rPr>
      </w:pPr>
      <w:r>
        <w:rPr>
          <w:lang w:eastAsia="en-US"/>
        </w:rPr>
        <w:t>Einarbeitung in das Projekt</w:t>
      </w:r>
    </w:p>
    <w:p w14:paraId="2C803CA4" w14:textId="77777777" w:rsidR="00B47E04" w:rsidRDefault="00B47E04" w:rsidP="00B47E04">
      <w:pPr>
        <w:pStyle w:val="Listenabsatz"/>
        <w:numPr>
          <w:ilvl w:val="1"/>
          <w:numId w:val="18"/>
        </w:numPr>
        <w:rPr>
          <w:lang w:eastAsia="en-US"/>
        </w:rPr>
      </w:pPr>
      <w:r>
        <w:rPr>
          <w:lang w:eastAsia="en-US"/>
        </w:rPr>
        <w:t>Beschreibung des Teams mit Zuständigkeiten</w:t>
      </w:r>
    </w:p>
    <w:p w14:paraId="46AF8458" w14:textId="77777777" w:rsidR="00B47E04" w:rsidRDefault="00B47E04" w:rsidP="00B47E04">
      <w:pPr>
        <w:pStyle w:val="Listenabsatz"/>
        <w:numPr>
          <w:ilvl w:val="1"/>
          <w:numId w:val="18"/>
        </w:numPr>
        <w:rPr>
          <w:lang w:eastAsia="en-US"/>
        </w:rPr>
      </w:pPr>
      <w:r>
        <w:rPr>
          <w:lang w:eastAsia="en-US"/>
        </w:rPr>
        <w:t>Einsatzkapazitäten</w:t>
      </w:r>
    </w:p>
    <w:p w14:paraId="70E5D6FD" w14:textId="77777777" w:rsidR="00B47E04" w:rsidRDefault="00B47E04" w:rsidP="00B47E04">
      <w:pPr>
        <w:pStyle w:val="Listenabsatz"/>
        <w:numPr>
          <w:ilvl w:val="1"/>
          <w:numId w:val="18"/>
        </w:numPr>
        <w:rPr>
          <w:lang w:eastAsia="en-US"/>
        </w:rPr>
      </w:pPr>
      <w:r>
        <w:rPr>
          <w:lang w:eastAsia="en-US"/>
        </w:rPr>
        <w:t>Qualitätssicherung</w:t>
      </w:r>
    </w:p>
    <w:p w14:paraId="0E98117A" w14:textId="474394DC" w:rsidR="00B47E04" w:rsidRDefault="00B47E04" w:rsidP="00B47E04">
      <w:pPr>
        <w:pStyle w:val="Listenabsatz"/>
        <w:numPr>
          <w:ilvl w:val="1"/>
          <w:numId w:val="18"/>
        </w:numPr>
        <w:rPr>
          <w:lang w:eastAsia="en-US"/>
        </w:rPr>
      </w:pPr>
      <w:r>
        <w:rPr>
          <w:lang w:eastAsia="en-US"/>
        </w:rPr>
        <w:t>Kommunikationsstrukturen</w:t>
      </w:r>
    </w:p>
    <w:p w14:paraId="7CEEE3AD" w14:textId="7AE328A5" w:rsidR="00B47E04" w:rsidRDefault="00B47E04" w:rsidP="00B47E04">
      <w:pPr>
        <w:pStyle w:val="Listenabsatz"/>
        <w:ind w:left="1440"/>
        <w:rPr>
          <w:lang w:eastAsia="en-US"/>
        </w:rPr>
      </w:pPr>
      <w:r>
        <w:rPr>
          <w:lang w:eastAsia="en-US"/>
        </w:rPr>
        <w:t>(das Konzept sollte fünf Seiten nicht überschreiten)</w:t>
      </w:r>
    </w:p>
    <w:p w14:paraId="74778A6C" w14:textId="10DD6006" w:rsidR="0066492C" w:rsidRPr="0066492C" w:rsidRDefault="0066492C" w:rsidP="005F39E5">
      <w:pPr>
        <w:pStyle w:val="Listenabsatz"/>
        <w:numPr>
          <w:ilvl w:val="0"/>
          <w:numId w:val="17"/>
        </w:numPr>
        <w:rPr>
          <w:lang w:eastAsia="en-US"/>
        </w:rPr>
      </w:pPr>
      <w:r>
        <w:rPr>
          <w:lang w:eastAsia="en-US"/>
        </w:rPr>
        <w:t>Honorar (Gewichtungsfaktor 40)</w:t>
      </w:r>
    </w:p>
    <w:p w14:paraId="08702791" w14:textId="38B54A74" w:rsidR="00E07817" w:rsidRPr="00E07817" w:rsidRDefault="00E07817" w:rsidP="005F39E5">
      <w:pPr>
        <w:pStyle w:val="berschrift1"/>
        <w:spacing w:line="276" w:lineRule="auto"/>
        <w:ind w:left="432" w:hanging="432"/>
      </w:pPr>
      <w:r w:rsidRPr="00E07817">
        <w:t>Stelle, an die sich der Bewerber oder Bieter zur Nachprüfung behaupteter Verstöße gegen die</w:t>
      </w:r>
      <w:r>
        <w:t xml:space="preserve"> </w:t>
      </w:r>
      <w:r w:rsidRPr="00E07817">
        <w:t>Vergabebestimmungen wenden kann:</w:t>
      </w:r>
    </w:p>
    <w:p w14:paraId="51AA9F5F" w14:textId="77777777" w:rsidR="00E07817" w:rsidRPr="00E07817" w:rsidRDefault="00E07817" w:rsidP="005F39E5">
      <w:pPr>
        <w:rPr>
          <w:rFonts w:eastAsia="MS Gothic"/>
        </w:rPr>
      </w:pPr>
      <w:r w:rsidRPr="00E07817">
        <w:rPr>
          <w:rFonts w:eastAsia="MS Gothic"/>
        </w:rPr>
        <w:t>Vergabekammer Westfalen – Bezirksregierung Münster</w:t>
      </w:r>
    </w:p>
    <w:p w14:paraId="19B0D41C" w14:textId="77777777" w:rsidR="00E07817" w:rsidRPr="00E07817" w:rsidRDefault="00E07817" w:rsidP="005F39E5">
      <w:pPr>
        <w:rPr>
          <w:rFonts w:eastAsia="MS Gothic"/>
        </w:rPr>
      </w:pPr>
      <w:r w:rsidRPr="00E07817">
        <w:rPr>
          <w:rFonts w:eastAsia="MS Gothic"/>
        </w:rPr>
        <w:t>Adresse: Albrecht-Thaer-Straße 9</w:t>
      </w:r>
    </w:p>
    <w:p w14:paraId="2FC5EC6C" w14:textId="77777777" w:rsidR="00E07817" w:rsidRPr="00E07817" w:rsidRDefault="00E07817" w:rsidP="005F39E5">
      <w:pPr>
        <w:rPr>
          <w:rFonts w:eastAsia="MS Gothic"/>
        </w:rPr>
      </w:pPr>
      <w:r w:rsidRPr="00E07817">
        <w:rPr>
          <w:rFonts w:eastAsia="MS Gothic"/>
        </w:rPr>
        <w:t>Ort: 48147 Münster</w:t>
      </w:r>
    </w:p>
    <w:p w14:paraId="570BB231" w14:textId="77777777" w:rsidR="00E07817" w:rsidRPr="00E07817" w:rsidRDefault="00E07817" w:rsidP="005F39E5">
      <w:pPr>
        <w:rPr>
          <w:rFonts w:eastAsia="MS Gothic"/>
        </w:rPr>
      </w:pPr>
      <w:r w:rsidRPr="00E07817">
        <w:rPr>
          <w:rFonts w:eastAsia="MS Gothic"/>
        </w:rPr>
        <w:t>Telefon: 0251 411-1691</w:t>
      </w:r>
    </w:p>
    <w:p w14:paraId="79CA8820" w14:textId="76BFDC29" w:rsidR="00CA6F04" w:rsidRDefault="00E07817" w:rsidP="005F39E5">
      <w:r w:rsidRPr="00E07817">
        <w:t>Fax: 0251 411-2165</w:t>
      </w:r>
    </w:p>
    <w:p w14:paraId="160FC068" w14:textId="37050BCE" w:rsidR="00E07817" w:rsidRPr="001E34A9" w:rsidRDefault="00E07817" w:rsidP="005F39E5">
      <w:r w:rsidRPr="001E34A9">
        <w:lastRenderedPageBreak/>
        <w:t>E-Mail: vergabekammer@bezreg-muenster.nrw.de</w:t>
      </w:r>
    </w:p>
    <w:bookmarkEnd w:id="26"/>
    <w:p w14:paraId="23942DC7" w14:textId="77777777" w:rsidR="004A4C7F" w:rsidRPr="001E34A9" w:rsidRDefault="004A4C7F">
      <w:pPr>
        <w:spacing w:before="0" w:line="276" w:lineRule="auto"/>
        <w:rPr>
          <w:rFonts w:eastAsia="Calibri" w:cs="Calibri"/>
          <w:color w:val="000000"/>
        </w:rPr>
      </w:pPr>
    </w:p>
    <w:p w14:paraId="68C7405B" w14:textId="3D990A31" w:rsidR="00952E59" w:rsidRPr="001E34A9" w:rsidRDefault="00952E59">
      <w:pPr>
        <w:spacing w:before="0" w:line="276" w:lineRule="auto"/>
      </w:pPr>
    </w:p>
    <w:sectPr w:rsidR="00952E59" w:rsidRPr="001E34A9">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418" w:header="567" w:footer="10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EC1AB" w14:textId="77777777" w:rsidR="00445317" w:rsidRDefault="00445317">
      <w:pPr>
        <w:spacing w:line="240" w:lineRule="auto"/>
      </w:pPr>
      <w:r>
        <w:separator/>
      </w:r>
    </w:p>
  </w:endnote>
  <w:endnote w:type="continuationSeparator" w:id="0">
    <w:p w14:paraId="01DA3781" w14:textId="77777777" w:rsidR="00445317" w:rsidRDefault="004453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40824" w14:textId="77777777" w:rsidR="009F4A4F" w:rsidRDefault="009F4A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571301"/>
      <w:docPartObj>
        <w:docPartGallery w:val="Page Numbers (Bottom of Page)"/>
        <w:docPartUnique/>
      </w:docPartObj>
    </w:sdtPr>
    <w:sdtEndPr/>
    <w:sdtContent>
      <w:sdt>
        <w:sdtPr>
          <w:id w:val="1728636285"/>
          <w:docPartObj>
            <w:docPartGallery w:val="Page Numbers (Top of Page)"/>
            <w:docPartUnique/>
          </w:docPartObj>
        </w:sdtPr>
        <w:sdtEndPr/>
        <w:sdtContent>
          <w:p w14:paraId="7BA072F2" w14:textId="77777777" w:rsidR="004A4C7F" w:rsidRDefault="009F4A4F">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5669D55" w14:textId="77777777" w:rsidR="004A4C7F" w:rsidRDefault="004A4C7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D1A3B" w14:textId="77777777" w:rsidR="009F4A4F" w:rsidRDefault="009F4A4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7DAF4" w14:textId="77777777" w:rsidR="00445317" w:rsidRDefault="00445317">
      <w:pPr>
        <w:spacing w:line="240" w:lineRule="auto"/>
      </w:pPr>
      <w:r>
        <w:separator/>
      </w:r>
    </w:p>
  </w:footnote>
  <w:footnote w:type="continuationSeparator" w:id="0">
    <w:p w14:paraId="5D1183BF" w14:textId="77777777" w:rsidR="00445317" w:rsidRDefault="004453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0FF7A" w14:textId="77777777" w:rsidR="009F4A4F" w:rsidRDefault="009F4A4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5FF05" w14:textId="77777777" w:rsidR="009F4A4F" w:rsidRDefault="0073501A" w:rsidP="0073501A">
    <w:pPr>
      <w:pStyle w:val="Kopfzeile"/>
      <w:rPr>
        <w:rFonts w:cs="Calibri"/>
        <w:noProof/>
        <w:sz w:val="20"/>
        <w:szCs w:val="20"/>
      </w:rPr>
    </w:pPr>
    <w:r w:rsidRPr="0073501A">
      <w:rPr>
        <w:rFonts w:cs="Calibri"/>
        <w:noProof/>
        <w:sz w:val="20"/>
        <w:szCs w:val="20"/>
      </w:rPr>
      <w:drawing>
        <wp:anchor distT="0" distB="0" distL="114300" distR="114300" simplePos="0" relativeHeight="251659264" behindDoc="1" locked="0" layoutInCell="1" allowOverlap="1" wp14:anchorId="48324388" wp14:editId="642EAD57">
          <wp:simplePos x="0" y="0"/>
          <wp:positionH relativeFrom="column">
            <wp:posOffset>5185410</wp:posOffset>
          </wp:positionH>
          <wp:positionV relativeFrom="paragraph">
            <wp:posOffset>-328930</wp:posOffset>
          </wp:positionV>
          <wp:extent cx="1094740" cy="1094740"/>
          <wp:effectExtent l="0" t="0" r="0" b="0"/>
          <wp:wrapNone/>
          <wp:docPr id="246764297" name="Grafik 2" descr="Ein Bild, das Design,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6309177" descr="Ein Bild, das Design, Schrift, Logo,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740" cy="1094740"/>
                  </a:xfrm>
                  <a:prstGeom prst="rect">
                    <a:avLst/>
                  </a:prstGeom>
                  <a:noFill/>
                </pic:spPr>
              </pic:pic>
            </a:graphicData>
          </a:graphic>
          <wp14:sizeRelH relativeFrom="margin">
            <wp14:pctWidth>0</wp14:pctWidth>
          </wp14:sizeRelH>
          <wp14:sizeRelV relativeFrom="margin">
            <wp14:pctHeight>0</wp14:pctHeight>
          </wp14:sizeRelV>
        </wp:anchor>
      </w:drawing>
    </w:r>
    <w:bookmarkStart w:id="27" w:name="_Hlk12025274"/>
    <w:bookmarkStart w:id="28" w:name="_Hlk44340765"/>
    <w:r w:rsidRPr="0073501A">
      <w:rPr>
        <w:rFonts w:cs="Calibri"/>
        <w:noProof/>
        <w:sz w:val="20"/>
        <w:szCs w:val="20"/>
      </w:rPr>
      <w:t xml:space="preserve">Institut der Feuerwehr NRW | </w:t>
    </w:r>
    <w:bookmarkEnd w:id="27"/>
    <w:r w:rsidRPr="0073501A">
      <w:rPr>
        <w:rFonts w:cs="Calibri"/>
        <w:noProof/>
        <w:sz w:val="20"/>
        <w:szCs w:val="20"/>
      </w:rPr>
      <w:t xml:space="preserve">Planungsleistungen TGA | </w:t>
    </w:r>
  </w:p>
  <w:p w14:paraId="4B55885B" w14:textId="17B8C68E" w:rsidR="0073501A" w:rsidRPr="0073501A" w:rsidRDefault="0073501A" w:rsidP="0073501A">
    <w:pPr>
      <w:pStyle w:val="Kopfzeile"/>
      <w:rPr>
        <w:rFonts w:cs="Calibri"/>
        <w:noProof/>
        <w:sz w:val="20"/>
        <w:szCs w:val="20"/>
      </w:rPr>
    </w:pPr>
    <w:r w:rsidRPr="0073501A">
      <w:rPr>
        <w:rFonts w:cs="Calibri"/>
        <w:noProof/>
        <w:sz w:val="20"/>
        <w:szCs w:val="20"/>
      </w:rPr>
      <w:t>Infrastrukturoptimierung Münster und Telgte</w:t>
    </w:r>
  </w:p>
  <w:p w14:paraId="000B8B42" w14:textId="5C70BEA5" w:rsidR="0073501A" w:rsidRDefault="0073501A">
    <w:pPr>
      <w:pStyle w:val="Kopfzeile"/>
      <w:rPr>
        <w:rFonts w:cs="Calibri"/>
        <w:noProof/>
        <w:sz w:val="20"/>
        <w:szCs w:val="20"/>
      </w:rPr>
    </w:pPr>
    <w:r>
      <w:rPr>
        <w:rFonts w:cs="Calibri"/>
        <w:noProof/>
        <w:sz w:val="20"/>
        <w:szCs w:val="20"/>
      </w:rPr>
      <w:t>Informationsunterlage</w:t>
    </w:r>
    <w:r w:rsidR="0065738B">
      <w:rPr>
        <w:rFonts w:cs="Calibri"/>
        <w:noProof/>
        <w:sz w:val="20"/>
        <w:szCs w:val="20"/>
      </w:rPr>
      <w:t xml:space="preserve"> TNW</w:t>
    </w:r>
  </w:p>
  <w:p w14:paraId="0BE394AA" w14:textId="6DBCD385" w:rsidR="004A4C7F" w:rsidRPr="0073501A" w:rsidRDefault="0073501A">
    <w:pPr>
      <w:pStyle w:val="Kopfzeile"/>
      <w:rPr>
        <w:rFonts w:cs="Calibri"/>
        <w:noProof/>
        <w:sz w:val="20"/>
        <w:szCs w:val="20"/>
      </w:rPr>
    </w:pPr>
    <w:r w:rsidRPr="0073501A">
      <w:rPr>
        <w:rFonts w:cs="Calibri"/>
        <w:noProof/>
        <w:sz w:val="20"/>
        <w:szCs w:val="20"/>
      </w:rPr>
      <w:t>Vergabenummer: 2025_218 71200</w:t>
    </w:r>
    <w:bookmarkEnd w:id="28"/>
  </w:p>
  <w:p w14:paraId="34CB0730" w14:textId="77777777" w:rsidR="004A4C7F" w:rsidRDefault="004A4C7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D3EAC" w14:textId="77777777" w:rsidR="009F4A4F" w:rsidRDefault="009F4A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10"/>
    <w:multiLevelType w:val="hybridMultilevel"/>
    <w:tmpl w:val="C82AA496"/>
    <w:lvl w:ilvl="0" w:tplc="04070001">
      <w:start w:val="1"/>
      <w:numFmt w:val="bullet"/>
      <w:lvlText w:val=""/>
      <w:lvlJc w:val="left"/>
      <w:pPr>
        <w:ind w:left="1573" w:hanging="360"/>
      </w:pPr>
      <w:rPr>
        <w:rFonts w:ascii="Symbol" w:hAnsi="Symbol" w:hint="default"/>
      </w:rPr>
    </w:lvl>
    <w:lvl w:ilvl="1" w:tplc="04070003" w:tentative="1">
      <w:start w:val="1"/>
      <w:numFmt w:val="bullet"/>
      <w:lvlText w:val="o"/>
      <w:lvlJc w:val="left"/>
      <w:pPr>
        <w:ind w:left="2293" w:hanging="360"/>
      </w:pPr>
      <w:rPr>
        <w:rFonts w:ascii="Courier New" w:hAnsi="Courier New" w:cs="Courier New" w:hint="default"/>
      </w:rPr>
    </w:lvl>
    <w:lvl w:ilvl="2" w:tplc="04070005" w:tentative="1">
      <w:start w:val="1"/>
      <w:numFmt w:val="bullet"/>
      <w:lvlText w:val=""/>
      <w:lvlJc w:val="left"/>
      <w:pPr>
        <w:ind w:left="3013" w:hanging="360"/>
      </w:pPr>
      <w:rPr>
        <w:rFonts w:ascii="Wingdings" w:hAnsi="Wingdings" w:hint="default"/>
      </w:rPr>
    </w:lvl>
    <w:lvl w:ilvl="3" w:tplc="04070001" w:tentative="1">
      <w:start w:val="1"/>
      <w:numFmt w:val="bullet"/>
      <w:lvlText w:val=""/>
      <w:lvlJc w:val="left"/>
      <w:pPr>
        <w:ind w:left="3733" w:hanging="360"/>
      </w:pPr>
      <w:rPr>
        <w:rFonts w:ascii="Symbol" w:hAnsi="Symbol" w:hint="default"/>
      </w:rPr>
    </w:lvl>
    <w:lvl w:ilvl="4" w:tplc="04070003" w:tentative="1">
      <w:start w:val="1"/>
      <w:numFmt w:val="bullet"/>
      <w:lvlText w:val="o"/>
      <w:lvlJc w:val="left"/>
      <w:pPr>
        <w:ind w:left="4453" w:hanging="360"/>
      </w:pPr>
      <w:rPr>
        <w:rFonts w:ascii="Courier New" w:hAnsi="Courier New" w:cs="Courier New" w:hint="default"/>
      </w:rPr>
    </w:lvl>
    <w:lvl w:ilvl="5" w:tplc="04070005" w:tentative="1">
      <w:start w:val="1"/>
      <w:numFmt w:val="bullet"/>
      <w:lvlText w:val=""/>
      <w:lvlJc w:val="left"/>
      <w:pPr>
        <w:ind w:left="5173" w:hanging="360"/>
      </w:pPr>
      <w:rPr>
        <w:rFonts w:ascii="Wingdings" w:hAnsi="Wingdings" w:hint="default"/>
      </w:rPr>
    </w:lvl>
    <w:lvl w:ilvl="6" w:tplc="04070001" w:tentative="1">
      <w:start w:val="1"/>
      <w:numFmt w:val="bullet"/>
      <w:lvlText w:val=""/>
      <w:lvlJc w:val="left"/>
      <w:pPr>
        <w:ind w:left="5893" w:hanging="360"/>
      </w:pPr>
      <w:rPr>
        <w:rFonts w:ascii="Symbol" w:hAnsi="Symbol" w:hint="default"/>
      </w:rPr>
    </w:lvl>
    <w:lvl w:ilvl="7" w:tplc="04070003" w:tentative="1">
      <w:start w:val="1"/>
      <w:numFmt w:val="bullet"/>
      <w:lvlText w:val="o"/>
      <w:lvlJc w:val="left"/>
      <w:pPr>
        <w:ind w:left="6613" w:hanging="360"/>
      </w:pPr>
      <w:rPr>
        <w:rFonts w:ascii="Courier New" w:hAnsi="Courier New" w:cs="Courier New" w:hint="default"/>
      </w:rPr>
    </w:lvl>
    <w:lvl w:ilvl="8" w:tplc="04070005" w:tentative="1">
      <w:start w:val="1"/>
      <w:numFmt w:val="bullet"/>
      <w:lvlText w:val=""/>
      <w:lvlJc w:val="left"/>
      <w:pPr>
        <w:ind w:left="7333" w:hanging="360"/>
      </w:pPr>
      <w:rPr>
        <w:rFonts w:ascii="Wingdings" w:hAnsi="Wingdings" w:hint="default"/>
      </w:rPr>
    </w:lvl>
  </w:abstractNum>
  <w:abstractNum w:abstractNumId="1" w15:restartNumberingAfterBreak="0">
    <w:nsid w:val="075A2EEE"/>
    <w:multiLevelType w:val="multilevel"/>
    <w:tmpl w:val="20246F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7958FE"/>
    <w:multiLevelType w:val="hybridMultilevel"/>
    <w:tmpl w:val="938494E0"/>
    <w:lvl w:ilvl="0" w:tplc="04070003">
      <w:start w:val="1"/>
      <w:numFmt w:val="bullet"/>
      <w:lvlText w:val="o"/>
      <w:lvlJc w:val="left"/>
      <w:pPr>
        <w:ind w:left="1440" w:hanging="360"/>
      </w:pPr>
      <w:rPr>
        <w:rFonts w:ascii="Courier New" w:hAnsi="Courier New" w:cs="Courier New"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0FFA2164"/>
    <w:multiLevelType w:val="hybridMultilevel"/>
    <w:tmpl w:val="4C6C573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5E77B98"/>
    <w:multiLevelType w:val="multilevel"/>
    <w:tmpl w:val="762871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0244E6D"/>
    <w:multiLevelType w:val="hybridMultilevel"/>
    <w:tmpl w:val="C8B2D9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BB31F20"/>
    <w:multiLevelType w:val="multilevel"/>
    <w:tmpl w:val="7BB40D0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314F6D3F"/>
    <w:multiLevelType w:val="multilevel"/>
    <w:tmpl w:val="C9262E4E"/>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36BA4BC0"/>
    <w:multiLevelType w:val="multilevel"/>
    <w:tmpl w:val="93D85E88"/>
    <w:lvl w:ilvl="0">
      <w:numFmt w:val="bullet"/>
      <w:lvlText w:val="-"/>
      <w:lvlJc w:val="left"/>
      <w:pPr>
        <w:ind w:left="720" w:hanging="360"/>
      </w:pPr>
      <w:rPr>
        <w:rFonts w:ascii="Calibri" w:eastAsia="Arial" w:hAnsi="Calibri" w:cs="Calibri" w:hint="default"/>
      </w:rPr>
    </w:lvl>
    <w:lvl w:ilvl="1">
      <w:numFmt w:val="bullet"/>
      <w:lvlText w:val="•"/>
      <w:lvlJc w:val="left"/>
      <w:pPr>
        <w:ind w:left="1785" w:hanging="705"/>
      </w:pPr>
      <w:rPr>
        <w:rFonts w:ascii="Calibri" w:eastAsiaTheme="majorEastAsia" w:hAnsi="Calibri" w:cs="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7073492"/>
    <w:multiLevelType w:val="multilevel"/>
    <w:tmpl w:val="EBE07A8C"/>
    <w:lvl w:ilvl="0">
      <w:start w:val="1"/>
      <w:numFmt w:val="bullet"/>
      <w:lvlText w:val=""/>
      <w:lvlJc w:val="left"/>
      <w:pPr>
        <w:ind w:left="720" w:hanging="360"/>
      </w:pPr>
      <w:rPr>
        <w:rFonts w:ascii="Wingdings" w:hAnsi="Wingdings" w:hint="default"/>
      </w:rPr>
    </w:lvl>
    <w:lvl w:ilvl="1">
      <w:numFmt w:val="bullet"/>
      <w:lvlText w:val="-"/>
      <w:lvlJc w:val="left"/>
      <w:pPr>
        <w:ind w:left="720" w:hanging="360"/>
      </w:pPr>
      <w:rPr>
        <w:rFonts w:ascii="Calibri" w:eastAsia="Arial" w:hAnsi="Calibri" w:cs="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DC85C03"/>
    <w:multiLevelType w:val="multilevel"/>
    <w:tmpl w:val="44B42A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081586D"/>
    <w:multiLevelType w:val="hybridMultilevel"/>
    <w:tmpl w:val="208283D8"/>
    <w:lvl w:ilvl="0" w:tplc="AD86A03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3600530"/>
    <w:multiLevelType w:val="hybridMultilevel"/>
    <w:tmpl w:val="E59ADD7E"/>
    <w:lvl w:ilvl="0" w:tplc="AD86A03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95921F8"/>
    <w:multiLevelType w:val="multilevel"/>
    <w:tmpl w:val="DF6E2A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33545C0"/>
    <w:multiLevelType w:val="multilevel"/>
    <w:tmpl w:val="1504C2B4"/>
    <w:lvl w:ilvl="0">
      <w:numFmt w:val="bullet"/>
      <w:lvlText w:val="-"/>
      <w:lvlJc w:val="left"/>
      <w:pPr>
        <w:ind w:left="2138" w:hanging="360"/>
      </w:pPr>
      <w:rPr>
        <w:rFonts w:ascii="Calibri" w:eastAsia="Times New Roman" w:hAnsi="Calibri" w:cs="Calibri" w:hint="default"/>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15" w15:restartNumberingAfterBreak="0">
    <w:nsid w:val="66D13174"/>
    <w:multiLevelType w:val="hybridMultilevel"/>
    <w:tmpl w:val="D3B07CF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6B086A20"/>
    <w:multiLevelType w:val="multilevel"/>
    <w:tmpl w:val="1F1612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3"/>
  </w:num>
  <w:num w:numId="4">
    <w:abstractNumId w:val="1"/>
  </w:num>
  <w:num w:numId="5">
    <w:abstractNumId w:val="10"/>
  </w:num>
  <w:num w:numId="6">
    <w:abstractNumId w:val="16"/>
  </w:num>
  <w:num w:numId="7">
    <w:abstractNumId w:val="4"/>
  </w:num>
  <w:num w:numId="8">
    <w:abstractNumId w:val="7"/>
  </w:num>
  <w:num w:numId="9">
    <w:abstractNumId w:val="14"/>
  </w:num>
  <w:num w:numId="10">
    <w:abstractNumId w:val="9"/>
  </w:num>
  <w:num w:numId="11">
    <w:abstractNumId w:val="6"/>
  </w:num>
  <w:num w:numId="12">
    <w:abstractNumId w:val="3"/>
  </w:num>
  <w:num w:numId="13">
    <w:abstractNumId w:val="5"/>
  </w:num>
  <w:num w:numId="14">
    <w:abstractNumId w:val="0"/>
  </w:num>
  <w:num w:numId="15">
    <w:abstractNumId w:val="15"/>
  </w:num>
  <w:num w:numId="16">
    <w:abstractNumId w:val="12"/>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C7F"/>
    <w:rsid w:val="000B4A9F"/>
    <w:rsid w:val="000C3252"/>
    <w:rsid w:val="00141067"/>
    <w:rsid w:val="001561B5"/>
    <w:rsid w:val="001B6933"/>
    <w:rsid w:val="001E34A9"/>
    <w:rsid w:val="00206C56"/>
    <w:rsid w:val="0025394F"/>
    <w:rsid w:val="00275597"/>
    <w:rsid w:val="00276EE6"/>
    <w:rsid w:val="00283143"/>
    <w:rsid w:val="00295220"/>
    <w:rsid w:val="0034593D"/>
    <w:rsid w:val="003766CA"/>
    <w:rsid w:val="003A1BC0"/>
    <w:rsid w:val="004276A9"/>
    <w:rsid w:val="00434BB3"/>
    <w:rsid w:val="00445317"/>
    <w:rsid w:val="004A4C7F"/>
    <w:rsid w:val="00580D36"/>
    <w:rsid w:val="005F39E5"/>
    <w:rsid w:val="00624FFA"/>
    <w:rsid w:val="00645518"/>
    <w:rsid w:val="0065738B"/>
    <w:rsid w:val="006606D9"/>
    <w:rsid w:val="0066492C"/>
    <w:rsid w:val="006821B9"/>
    <w:rsid w:val="006B26A6"/>
    <w:rsid w:val="006F0F97"/>
    <w:rsid w:val="00731AF2"/>
    <w:rsid w:val="0073501A"/>
    <w:rsid w:val="00735942"/>
    <w:rsid w:val="007B752B"/>
    <w:rsid w:val="007D5E9C"/>
    <w:rsid w:val="008034F1"/>
    <w:rsid w:val="0083174E"/>
    <w:rsid w:val="00842F57"/>
    <w:rsid w:val="008D0C3B"/>
    <w:rsid w:val="008F5D2C"/>
    <w:rsid w:val="0090646E"/>
    <w:rsid w:val="00952E59"/>
    <w:rsid w:val="00953FF0"/>
    <w:rsid w:val="00981B2B"/>
    <w:rsid w:val="00991F20"/>
    <w:rsid w:val="009C0206"/>
    <w:rsid w:val="009E056D"/>
    <w:rsid w:val="009E4E3A"/>
    <w:rsid w:val="009F4A4F"/>
    <w:rsid w:val="00A60FC0"/>
    <w:rsid w:val="00AC3CCF"/>
    <w:rsid w:val="00AF51FB"/>
    <w:rsid w:val="00B437D5"/>
    <w:rsid w:val="00B47E04"/>
    <w:rsid w:val="00B60BD6"/>
    <w:rsid w:val="00B60CCB"/>
    <w:rsid w:val="00C640AC"/>
    <w:rsid w:val="00C97DBF"/>
    <w:rsid w:val="00CA6F04"/>
    <w:rsid w:val="00D302B6"/>
    <w:rsid w:val="00DD51B8"/>
    <w:rsid w:val="00DE3F38"/>
    <w:rsid w:val="00E07817"/>
    <w:rsid w:val="00E67ADC"/>
    <w:rsid w:val="00EE01E2"/>
    <w:rsid w:val="00F24970"/>
    <w:rsid w:val="00F33D6C"/>
    <w:rsid w:val="00F409B7"/>
    <w:rsid w:val="00FA4C4E"/>
    <w:rsid w:val="00FE1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6897C"/>
  <w15:docId w15:val="{07FD0C00-C289-4BAA-BF20-D7D026B37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320" w:lineRule="atLeast"/>
      <w:jc w:val="both"/>
    </w:pPr>
    <w:rPr>
      <w:rFonts w:ascii="Calibri" w:eastAsia="Times New Roman" w:hAnsi="Calibri" w:cstheme="minorHAnsi"/>
      <w:lang w:eastAsia="de-DE"/>
    </w:rPr>
  </w:style>
  <w:style w:type="paragraph" w:styleId="berschrift1">
    <w:name w:val="heading 1"/>
    <w:basedOn w:val="Standard"/>
    <w:next w:val="Standard"/>
    <w:link w:val="berschrift1Zchn"/>
    <w:uiPriority w:val="99"/>
    <w:qFormat/>
    <w:pPr>
      <w:keepNext/>
      <w:keepLines/>
      <w:numPr>
        <w:numId w:val="1"/>
      </w:numPr>
      <w:spacing w:before="360"/>
      <w:ind w:left="431" w:hanging="431"/>
      <w:outlineLvl w:val="0"/>
    </w:pPr>
    <w:rPr>
      <w:rFonts w:eastAsia="MS Gothic" w:cs="Calibri"/>
      <w:b/>
      <w:bCs/>
      <w:szCs w:val="28"/>
      <w:lang w:eastAsia="en-US"/>
    </w:rPr>
  </w:style>
  <w:style w:type="paragraph" w:styleId="berschrift2">
    <w:name w:val="heading 2"/>
    <w:basedOn w:val="Standard"/>
    <w:next w:val="Standard"/>
    <w:link w:val="berschrift2Zchn"/>
    <w:uiPriority w:val="9"/>
    <w:unhideWhenUsed/>
    <w:qFormat/>
    <w:pPr>
      <w:keepNext/>
      <w:keepLines/>
      <w:numPr>
        <w:ilvl w:val="1"/>
        <w:numId w:val="1"/>
      </w:numPr>
      <w:spacing w:before="280"/>
      <w:ind w:left="578" w:hanging="578"/>
      <w:outlineLvl w:val="1"/>
    </w:pPr>
    <w:rPr>
      <w:rFonts w:eastAsia="Arial"/>
      <w:b/>
      <w:bCs/>
    </w:rPr>
  </w:style>
  <w:style w:type="paragraph" w:styleId="berschrift3">
    <w:name w:val="heading 3"/>
    <w:basedOn w:val="Standard"/>
    <w:next w:val="Standard"/>
    <w:link w:val="berschrift3Zchn"/>
    <w:uiPriority w:val="9"/>
    <w:unhideWhenUsed/>
    <w:qFormat/>
    <w:pPr>
      <w:keepNext/>
      <w:keepLines/>
      <w:numPr>
        <w:ilvl w:val="2"/>
        <w:numId w:val="1"/>
      </w:numPr>
      <w:spacing w:before="280"/>
      <w:outlineLvl w:val="2"/>
    </w:pPr>
    <w:rPr>
      <w:rFonts w:eastAsiaTheme="majorEastAsia"/>
      <w:b/>
      <w:bCs/>
    </w:rPr>
  </w:style>
  <w:style w:type="paragraph" w:styleId="berschrift4">
    <w:name w:val="heading 4"/>
    <w:basedOn w:val="Standard"/>
    <w:next w:val="Standard"/>
    <w:link w:val="berschrift4Zchn"/>
    <w:uiPriority w:val="9"/>
    <w:unhideWhenUsed/>
    <w:qFormat/>
    <w:pPr>
      <w:keepNext/>
      <w:keepLines/>
      <w:numPr>
        <w:ilvl w:val="3"/>
        <w:numId w:val="1"/>
      </w:numPr>
      <w:spacing w:before="40"/>
      <w:outlineLvl w:val="3"/>
    </w:pPr>
    <w:rPr>
      <w:rFonts w:eastAsiaTheme="majorEastAsia" w:cstheme="majorBidi"/>
      <w:b/>
      <w:iCs/>
    </w:rPr>
  </w:style>
  <w:style w:type="paragraph" w:styleId="berschrift5">
    <w:name w:val="heading 5"/>
    <w:basedOn w:val="Standard"/>
    <w:next w:val="Standard"/>
    <w:link w:val="berschrift5Zchn"/>
    <w:uiPriority w:val="9"/>
    <w:unhideWhenUsed/>
    <w:qFormat/>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bsatz-Standardschriftart"/>
    <w:uiPriority w:val="9"/>
    <w:rPr>
      <w:rFonts w:ascii="Arial" w:eastAsia="Arial" w:hAnsi="Arial" w:cs="Arial"/>
      <w:color w:val="2E74B5" w:themeColor="accent1" w:themeShade="BF"/>
      <w:sz w:val="40"/>
      <w:szCs w:val="40"/>
    </w:rPr>
  </w:style>
  <w:style w:type="character" w:customStyle="1" w:styleId="Heading2Char">
    <w:name w:val="Heading 2 Char"/>
    <w:basedOn w:val="Absatz-Standardschriftart"/>
    <w:uiPriority w:val="9"/>
    <w:rPr>
      <w:rFonts w:ascii="Arial" w:eastAsia="Arial" w:hAnsi="Arial" w:cs="Arial"/>
      <w:color w:val="2E74B5" w:themeColor="accent1" w:themeShade="BF"/>
      <w:sz w:val="32"/>
      <w:szCs w:val="32"/>
    </w:rPr>
  </w:style>
  <w:style w:type="character" w:customStyle="1" w:styleId="Heading3Char">
    <w:name w:val="Heading 3 Char"/>
    <w:basedOn w:val="Absatz-Standardschriftart"/>
    <w:uiPriority w:val="9"/>
    <w:rPr>
      <w:rFonts w:ascii="Arial" w:eastAsia="Arial" w:hAnsi="Arial" w:cs="Arial"/>
      <w:color w:val="2E74B5" w:themeColor="accent1" w:themeShade="BF"/>
      <w:sz w:val="28"/>
      <w:szCs w:val="28"/>
    </w:rPr>
  </w:style>
  <w:style w:type="character" w:customStyle="1" w:styleId="Heading4Char">
    <w:name w:val="Heading 4 Char"/>
    <w:basedOn w:val="Absatz-Standardschriftart"/>
    <w:uiPriority w:val="9"/>
    <w:rPr>
      <w:rFonts w:ascii="Arial" w:eastAsia="Arial" w:hAnsi="Arial" w:cs="Arial"/>
      <w:i/>
      <w:iCs/>
      <w:color w:val="2E74B5" w:themeColor="accent1" w:themeShade="BF"/>
    </w:rPr>
  </w:style>
  <w:style w:type="character" w:customStyle="1" w:styleId="Heading5Char">
    <w:name w:val="Heading 5 Char"/>
    <w:basedOn w:val="Absatz-Standardschriftart"/>
    <w:uiPriority w:val="9"/>
    <w:rPr>
      <w:rFonts w:ascii="Arial" w:eastAsia="Arial" w:hAnsi="Arial" w:cs="Arial"/>
      <w:color w:val="2E74B5" w:themeColor="accent1" w:themeShade="BF"/>
    </w:rPr>
  </w:style>
  <w:style w:type="character" w:customStyle="1" w:styleId="Heading6Char">
    <w:name w:val="Heading 6 Char"/>
    <w:basedOn w:val="Absatz-Standardschriftart"/>
    <w:uiPriority w:val="9"/>
    <w:rPr>
      <w:rFonts w:ascii="Arial" w:eastAsia="Arial" w:hAnsi="Arial" w:cs="Arial"/>
      <w:i/>
      <w:iCs/>
      <w:color w:val="595959" w:themeColor="text1" w:themeTint="A6"/>
    </w:rPr>
  </w:style>
  <w:style w:type="character" w:customStyle="1" w:styleId="Heading7Char">
    <w:name w:val="Heading 7 Char"/>
    <w:basedOn w:val="Absatz-Standardschriftart"/>
    <w:uiPriority w:val="9"/>
    <w:rPr>
      <w:rFonts w:ascii="Arial" w:eastAsia="Arial" w:hAnsi="Arial" w:cs="Arial"/>
      <w:color w:val="595959" w:themeColor="text1" w:themeTint="A6"/>
    </w:rPr>
  </w:style>
  <w:style w:type="character" w:customStyle="1" w:styleId="Heading8Char">
    <w:name w:val="Heading 8 Char"/>
    <w:basedOn w:val="Absatz-Standardschriftart"/>
    <w:uiPriority w:val="9"/>
    <w:rPr>
      <w:rFonts w:ascii="Arial" w:eastAsia="Arial" w:hAnsi="Arial" w:cs="Arial"/>
      <w:i/>
      <w:iCs/>
      <w:color w:val="272727" w:themeColor="text1" w:themeTint="D8"/>
    </w:rPr>
  </w:style>
  <w:style w:type="character" w:customStyle="1" w:styleId="Heading9Char">
    <w:name w:val="Heading 9 Char"/>
    <w:basedOn w:val="Absatz-Standardschriftart"/>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Arial" w:eastAsia="Arial" w:hAnsi="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character" w:styleId="IntensiveHervorhebung">
    <w:name w:val="Intense Emphasis"/>
    <w:basedOn w:val="Absatz-Standardschriftart"/>
    <w:uiPriority w:val="21"/>
    <w:qFormat/>
    <w:rPr>
      <w:i/>
      <w:iCs/>
      <w:color w:val="2E74B5" w:themeColor="accent1" w:themeShade="BF"/>
    </w:rPr>
  </w:style>
  <w:style w:type="paragraph" w:styleId="IntensivesZitat">
    <w:name w:val="Intense Quote"/>
    <w:basedOn w:val="Standard"/>
    <w:next w:val="Standard"/>
    <w:link w:val="IntensivesZitatZchn"/>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Pr>
      <w:i/>
      <w:iCs/>
      <w:color w:val="2E74B5" w:themeColor="accent1" w:themeShade="BF"/>
    </w:rPr>
  </w:style>
  <w:style w:type="character" w:styleId="IntensiverVerweis">
    <w:name w:val="Intense Reference"/>
    <w:basedOn w:val="Absatz-Standardschriftart"/>
    <w:uiPriority w:val="32"/>
    <w:qFormat/>
    <w:rPr>
      <w:b/>
      <w:bCs/>
      <w:smallCaps/>
      <w:color w:val="2E74B5" w:themeColor="accent1" w:themeShade="BF"/>
      <w:spacing w:val="5"/>
    </w:rPr>
  </w:style>
  <w:style w:type="paragraph" w:styleId="KeinLeerraum">
    <w:name w:val="No Spacing"/>
    <w:basedOn w:val="Standard"/>
    <w:uiPriority w:val="1"/>
    <w:qFormat/>
    <w:pPr>
      <w:spacing w:after="0" w:line="240" w:lineRule="auto"/>
    </w:p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after="200" w:line="240" w:lineRule="auto"/>
    </w:pPr>
    <w:rPr>
      <w:i/>
      <w:iCs/>
      <w:color w:val="44546A" w:themeColor="text2"/>
      <w:sz w:val="18"/>
      <w:szCs w:val="18"/>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BesuchterLink">
    <w:name w:val="FollowedHyperlink"/>
    <w:basedOn w:val="Absatz-Standardschriftart"/>
    <w:uiPriority w:val="99"/>
    <w:semiHidden/>
    <w:unhideWhenUsed/>
    <w:rPr>
      <w:color w:val="954F72" w:themeColor="followedHyperlink"/>
      <w:u w:val="single"/>
    </w:r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character" w:styleId="Platzhaltertext">
    <w:name w:val="Placeholder Text"/>
    <w:basedOn w:val="Absatz-Standardschriftart"/>
    <w:uiPriority w:val="99"/>
    <w:semiHidden/>
    <w:rPr>
      <w:color w:val="666666"/>
    </w:rPr>
  </w:style>
  <w:style w:type="paragraph" w:styleId="Abbildungsverzeichnis">
    <w:name w:val="table of figures"/>
    <w:basedOn w:val="Standard"/>
    <w:next w:val="Standard"/>
    <w:uiPriority w:val="99"/>
    <w:unhideWhenUsed/>
    <w:pPr>
      <w:spacing w:after="0"/>
    </w:pPr>
  </w:style>
  <w:style w:type="paragraph" w:styleId="Listenabsatz">
    <w:name w:val="List Paragraph"/>
    <w:basedOn w:val="Standard"/>
    <w:link w:val="ListenabsatzZchn"/>
    <w:uiPriority w:val="34"/>
    <w:qFormat/>
    <w:pPr>
      <w:ind w:left="720"/>
      <w:contextualSpacing/>
    </w:pPr>
  </w:style>
  <w:style w:type="paragraph" w:styleId="Kopfzeile">
    <w:name w:val="header"/>
    <w:basedOn w:val="Standard"/>
    <w:link w:val="KopfzeileZchn"/>
    <w:unhideWhenUsed/>
    <w:pPr>
      <w:tabs>
        <w:tab w:val="center" w:pos="4536"/>
        <w:tab w:val="right" w:pos="9072"/>
      </w:tabs>
      <w:spacing w:line="240" w:lineRule="auto"/>
    </w:pPr>
  </w:style>
  <w:style w:type="character" w:customStyle="1" w:styleId="KopfzeileZchn">
    <w:name w:val="Kopfzeile Zchn"/>
    <w:basedOn w:val="Absatz-Standardschriftart"/>
    <w:link w:val="Kopfzeile"/>
    <w:rPr>
      <w:rFonts w:eastAsia="Times New Roman" w:cstheme="minorHAnsi"/>
      <w:lang w:eastAsia="de-DE"/>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eastAsia="Times New Roman" w:cstheme="minorHAnsi"/>
      <w:lang w:eastAsia="de-DE"/>
    </w:rPr>
  </w:style>
  <w:style w:type="table" w:styleId="Tabellenraster">
    <w:name w:val="Table Grid"/>
    <w:basedOn w:val="NormaleTabelle"/>
    <w:uiPriority w:val="39"/>
    <w:pPr>
      <w:spacing w:after="0" w:line="240" w:lineRule="auto"/>
    </w:pPr>
    <w:rPr>
      <w:rFonts w:ascii="Calibri" w:eastAsia="Times New Roman" w:hAnsi="Calibri" w:cs="Times New Roman"/>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eastAsia="Times New Roman" w:cstheme="minorHAnsi"/>
      <w:sz w:val="20"/>
      <w:szCs w:val="20"/>
      <w:lang w:eastAsia="de-DE"/>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eastAsia="Times New Roman" w:cstheme="minorHAnsi"/>
      <w:b/>
      <w:bCs/>
      <w:sz w:val="20"/>
      <w:szCs w:val="20"/>
      <w:lang w:eastAsia="de-DE"/>
    </w:rPr>
  </w:style>
  <w:style w:type="character" w:customStyle="1" w:styleId="berschrift1Zchn">
    <w:name w:val="Überschrift 1 Zchn"/>
    <w:basedOn w:val="Absatz-Standardschriftart"/>
    <w:link w:val="berschrift1"/>
    <w:uiPriority w:val="99"/>
    <w:rPr>
      <w:rFonts w:ascii="Calibri" w:eastAsia="MS Gothic" w:hAnsi="Calibri" w:cs="Calibri"/>
      <w:b/>
      <w:bCs/>
      <w:szCs w:val="28"/>
    </w:rPr>
  </w:style>
  <w:style w:type="character" w:styleId="Hyperlink">
    <w:name w:val="Hyperlink"/>
    <w:basedOn w:val="Absatz-Standardschriftart"/>
    <w:uiPriority w:val="99"/>
    <w:unhideWhenUsed/>
    <w:rPr>
      <w:color w:val="0563C1" w:themeColor="hyperlink"/>
      <w:u w:val="single"/>
    </w:rPr>
  </w:style>
  <w:style w:type="character" w:customStyle="1" w:styleId="berschrift3Zchn">
    <w:name w:val="Überschrift 3 Zchn"/>
    <w:basedOn w:val="Absatz-Standardschriftart"/>
    <w:link w:val="berschrift3"/>
    <w:uiPriority w:val="9"/>
    <w:rPr>
      <w:rFonts w:ascii="Calibri" w:eastAsiaTheme="majorEastAsia" w:hAnsi="Calibri" w:cstheme="minorHAnsi"/>
      <w:b/>
      <w:bCs/>
      <w:lang w:eastAsia="de-DE"/>
    </w:rPr>
  </w:style>
  <w:style w:type="character" w:customStyle="1" w:styleId="berschrift2Zchn">
    <w:name w:val="Überschrift 2 Zchn"/>
    <w:basedOn w:val="Absatz-Standardschriftart"/>
    <w:link w:val="berschrift2"/>
    <w:uiPriority w:val="9"/>
    <w:rPr>
      <w:rFonts w:ascii="Calibri" w:eastAsia="Arial" w:hAnsi="Calibri" w:cstheme="minorHAnsi"/>
      <w:b/>
      <w:bCs/>
      <w:lang w:eastAsia="de-DE"/>
    </w:rPr>
  </w:style>
  <w:style w:type="character" w:customStyle="1" w:styleId="berschrift4Zchn">
    <w:name w:val="Überschrift 4 Zchn"/>
    <w:basedOn w:val="Absatz-Standardschriftart"/>
    <w:link w:val="berschrift4"/>
    <w:uiPriority w:val="9"/>
    <w:rPr>
      <w:rFonts w:ascii="Calibri" w:eastAsiaTheme="majorEastAsia" w:hAnsi="Calibri" w:cstheme="majorBidi"/>
      <w:b/>
      <w:iCs/>
      <w:lang w:eastAsia="de-DE"/>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E74B5" w:themeColor="accent1" w:themeShade="BF"/>
      <w:lang w:eastAsia="de-DE"/>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1F4D78" w:themeColor="accent1" w:themeShade="7F"/>
      <w:lang w:eastAsia="de-DE"/>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1F4D78" w:themeColor="accent1" w:themeShade="7F"/>
      <w:lang w:eastAsia="de-DE"/>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1"/>
      <w:szCs w:val="21"/>
      <w:lang w:eastAsia="de-DE"/>
    </w:rPr>
  </w:style>
  <w:style w:type="paragraph" w:styleId="Inhaltsverzeichnisberschrift">
    <w:name w:val="TOC Heading"/>
    <w:basedOn w:val="berschrift1"/>
    <w:next w:val="Standard"/>
    <w:uiPriority w:val="39"/>
    <w:unhideWhenUsed/>
    <w:qFormat/>
    <w:pPr>
      <w:numPr>
        <w:numId w:val="0"/>
      </w:numPr>
      <w:spacing w:before="240" w:after="0" w:line="259" w:lineRule="auto"/>
      <w:jc w:val="left"/>
      <w:outlineLvl w:val="9"/>
    </w:pPr>
    <w:rPr>
      <w:rFonts w:asciiTheme="majorHAnsi" w:eastAsiaTheme="majorEastAsia" w:hAnsiTheme="majorHAnsi" w:cstheme="majorBidi"/>
      <w:b w:val="0"/>
      <w:bCs w:val="0"/>
      <w:color w:val="2E74B5" w:themeColor="accent1" w:themeShade="BF"/>
      <w:sz w:val="32"/>
      <w:szCs w:val="32"/>
      <w:lang w:eastAsia="de-DE"/>
    </w:rPr>
  </w:style>
  <w:style w:type="paragraph" w:styleId="Verzeichnis1">
    <w:name w:val="toc 1"/>
    <w:basedOn w:val="Standard"/>
    <w:next w:val="Standard"/>
    <w:uiPriority w:val="39"/>
    <w:unhideWhenUsed/>
    <w:pPr>
      <w:spacing w:line="276" w:lineRule="auto"/>
    </w:pPr>
    <w:rPr>
      <w:b/>
    </w:rPr>
  </w:style>
  <w:style w:type="paragraph" w:styleId="Verzeichnis2">
    <w:name w:val="toc 2"/>
    <w:basedOn w:val="Standard"/>
    <w:next w:val="Standard"/>
    <w:uiPriority w:val="39"/>
    <w:unhideWhenUsed/>
    <w:pPr>
      <w:tabs>
        <w:tab w:val="left" w:pos="880"/>
        <w:tab w:val="right" w:leader="dot" w:pos="9344"/>
      </w:tabs>
      <w:spacing w:line="276" w:lineRule="auto"/>
      <w:ind w:left="851" w:hanging="630"/>
    </w:pPr>
  </w:style>
  <w:style w:type="paragraph" w:styleId="Verzeichnis3">
    <w:name w:val="toc 3"/>
    <w:basedOn w:val="Standard"/>
    <w:next w:val="Standard"/>
    <w:uiPriority w:val="39"/>
    <w:unhideWhenUsed/>
    <w:pPr>
      <w:spacing w:line="276" w:lineRule="auto"/>
      <w:ind w:left="442"/>
    </w:pPr>
  </w:style>
  <w:style w:type="paragraph" w:styleId="Verzeichnis4">
    <w:name w:val="toc 4"/>
    <w:basedOn w:val="Standard"/>
    <w:next w:val="Standard"/>
    <w:uiPriority w:val="39"/>
    <w:semiHidden/>
    <w:unhideWhenUsed/>
    <w:pPr>
      <w:spacing w:line="276" w:lineRule="auto"/>
      <w:ind w:left="658"/>
    </w:p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berarbeitung">
    <w:name w:val="Revision"/>
    <w:hidden/>
    <w:uiPriority w:val="99"/>
    <w:semiHidden/>
    <w:pPr>
      <w:spacing w:after="0" w:line="240" w:lineRule="auto"/>
    </w:pPr>
    <w:rPr>
      <w:rFonts w:eastAsia="Times New Roman" w:cstheme="minorHAnsi"/>
      <w:lang w:eastAsia="de-DE"/>
    </w:rPr>
  </w:style>
  <w:style w:type="character" w:styleId="Erwhnung">
    <w:name w:val="Mention"/>
    <w:basedOn w:val="Absatz-Standardschriftart"/>
    <w:uiPriority w:val="99"/>
    <w:unhideWhenUsed/>
    <w:rPr>
      <w:color w:val="2B579A"/>
      <w:shd w:val="clear" w:color="auto" w:fill="E1DFDD"/>
    </w:rPr>
  </w:style>
  <w:style w:type="character" w:customStyle="1" w:styleId="fontstyle01">
    <w:name w:val="fontstyle01"/>
    <w:basedOn w:val="Absatz-Standardschriftart"/>
    <w:rPr>
      <w:rFonts w:ascii="Calibri" w:hAnsi="Calibri" w:cs="Calibri" w:hint="default"/>
      <w:b w:val="0"/>
      <w:bCs w:val="0"/>
      <w:i w:val="0"/>
      <w:iCs w:val="0"/>
      <w:color w:val="0563C1"/>
      <w:sz w:val="22"/>
      <w:szCs w:val="22"/>
    </w:rPr>
  </w:style>
  <w:style w:type="character" w:customStyle="1" w:styleId="ListenabsatzZchn">
    <w:name w:val="Listenabsatz Zchn"/>
    <w:basedOn w:val="Absatz-Standardschriftart"/>
    <w:link w:val="Listenabsatz"/>
    <w:uiPriority w:val="34"/>
    <w:rPr>
      <w:rFonts w:ascii="Calibri" w:eastAsia="Times New Roman" w:hAnsi="Calibri" w:cstheme="minorHAnsi"/>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C58BA397B76B1478E555C8299746969" ma:contentTypeVersion="6" ma:contentTypeDescription="Ein neues Dokument erstellen." ma:contentTypeScope="" ma:versionID="50691889f9d8e5be05a1513d3a9a15c0">
  <xsd:schema xmlns:xsd="http://www.w3.org/2001/XMLSchema" xmlns:xs="http://www.w3.org/2001/XMLSchema" xmlns:p="http://schemas.microsoft.com/office/2006/metadata/properties" xmlns:ns2="d95b7a48-e5e0-4eb9-8fd0-4bb0edb884d9" xmlns:ns3="80aaafbc-5ede-4a59-8468-c0c5fe209601" targetNamespace="http://schemas.microsoft.com/office/2006/metadata/properties" ma:root="true" ma:fieldsID="2456884a8b59b8cde9ed9a07e4f732ff" ns2:_="" ns3:_="">
    <xsd:import namespace="d95b7a48-e5e0-4eb9-8fd0-4bb0edb884d9"/>
    <xsd:import namespace="80aaafbc-5ede-4a59-8468-c0c5fe2096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b7a48-e5e0-4eb9-8fd0-4bb0edb884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aaafbc-5ede-4a59-8468-c0c5fe20960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35A9A-461A-445A-90D0-1627F9473405}">
  <ds:schemaRefs>
    <ds:schemaRef ds:uri="http://schemas.microsoft.com/sharepoint/v3/contenttype/forms"/>
  </ds:schemaRefs>
</ds:datastoreItem>
</file>

<file path=customXml/itemProps2.xml><?xml version="1.0" encoding="utf-8"?>
<ds:datastoreItem xmlns:ds="http://schemas.openxmlformats.org/officeDocument/2006/customXml" ds:itemID="{1715FEDD-179B-4201-99BF-4B21E9CAB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5b7a48-e5e0-4eb9-8fd0-4bb0edb884d9"/>
    <ds:schemaRef ds:uri="80aaafbc-5ede-4a59-8468-c0c5fe209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F81368-3DC1-4127-AD9F-6EDDE00D160C}">
  <ds:schemaRefs>
    <ds:schemaRef ds:uri="http://purl.org/dc/dcmitype/"/>
    <ds:schemaRef ds:uri="http://purl.org/dc/terms/"/>
    <ds:schemaRef ds:uri="http://schemas.microsoft.com/office/infopath/2007/PartnerControls"/>
    <ds:schemaRef ds:uri="http://schemas.microsoft.com/office/2006/documentManagement/types"/>
    <ds:schemaRef ds:uri="http://www.w3.org/XML/1998/namespace"/>
    <ds:schemaRef ds:uri="d95b7a48-e5e0-4eb9-8fd0-4bb0edb884d9"/>
    <ds:schemaRef ds:uri="http://schemas.openxmlformats.org/package/2006/metadata/core-properties"/>
    <ds:schemaRef ds:uri="80aaafbc-5ede-4a59-8468-c0c5fe209601"/>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54ADB59B-DC28-46AC-B7BF-D6211C03A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2840</Words>
  <Characters>17893</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CLP Rechtsanwälte</dc:creator>
  <cp:keywords/>
  <dc:description/>
  <cp:lastModifiedBy>Twickler, Pia</cp:lastModifiedBy>
  <cp:revision>832</cp:revision>
  <dcterms:created xsi:type="dcterms:W3CDTF">2019-12-16T17:02:00Z</dcterms:created>
  <dcterms:modified xsi:type="dcterms:W3CDTF">2026-01-08T16:49:00Z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0x010100AC58BA397B76B1478E555C8299746969</vt:lpwstr>
  </property>
</Properties>
</file>