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10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DR-Erweiterung für die Frequenzbereiche FR2 und FR3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