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5-25-00786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NL Köln / Deutsche Sporthochschule Köln, Modernisierung Institutsgebäude 1, Wärmeversorgungsanlagen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Wärmeversorgungsanlage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