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2F0C2E" w14:paraId="7167D8DA" w14:textId="77777777" w:rsidTr="005A13A8">
        <w:tc>
          <w:tcPr>
            <w:tcW w:w="1413" w:type="dxa"/>
          </w:tcPr>
          <w:p w14:paraId="40483219" w14:textId="77777777" w:rsidR="002F0C2E" w:rsidRDefault="002F0C2E" w:rsidP="002F0C2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696FA14" wp14:editId="5904A7A8">
                  <wp:extent cx="534009" cy="643583"/>
                  <wp:effectExtent l="0" t="0" r="0" b="444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609" t="-1479" r="-2609" b="-14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080" cy="66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2CB6BA3B" w14:textId="251072F6" w:rsidR="005A13A8" w:rsidRPr="00D520AF" w:rsidRDefault="000910A9" w:rsidP="005A13A8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8892376" wp14:editId="1E63BABA">
                  <wp:simplePos x="0" y="0"/>
                  <wp:positionH relativeFrom="column">
                    <wp:posOffset>3506470</wp:posOffset>
                  </wp:positionH>
                  <wp:positionV relativeFrom="paragraph">
                    <wp:posOffset>79375</wp:posOffset>
                  </wp:positionV>
                  <wp:extent cx="1275080" cy="722630"/>
                  <wp:effectExtent l="0" t="0" r="1270" b="127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08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13A8" w:rsidRPr="00D520AF">
              <w:rPr>
                <w:rFonts w:ascii="Arial" w:hAnsi="Arial" w:cs="Arial"/>
                <w:b/>
                <w:bCs/>
                <w:sz w:val="19"/>
                <w:szCs w:val="19"/>
              </w:rPr>
              <w:t>Kupferstadt Stolberg (Rhld.)</w:t>
            </w:r>
          </w:p>
          <w:p w14:paraId="79133868" w14:textId="4299E5C4" w:rsidR="002F0C2E" w:rsidRDefault="005A13A8" w:rsidP="005A13A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20AF">
              <w:rPr>
                <w:rFonts w:ascii="Arial" w:hAnsi="Arial" w:cs="Arial"/>
                <w:b/>
                <w:bCs/>
                <w:sz w:val="18"/>
              </w:rPr>
              <w:t>Der Bürgermeister</w:t>
            </w:r>
          </w:p>
        </w:tc>
      </w:tr>
    </w:tbl>
    <w:p w14:paraId="37F712C4" w14:textId="05D9C5E6" w:rsidR="00C74923" w:rsidRPr="000E3A82" w:rsidRDefault="00C74923" w:rsidP="002F0C2E">
      <w:pPr>
        <w:spacing w:after="0"/>
        <w:jc w:val="center"/>
        <w:rPr>
          <w:rFonts w:ascii="Arial" w:hAnsi="Arial" w:cs="Arial"/>
          <w:sz w:val="19"/>
          <w:szCs w:val="19"/>
          <w:u w:val="single"/>
        </w:rPr>
      </w:pPr>
      <w:r w:rsidRPr="000E3A82">
        <w:rPr>
          <w:rFonts w:ascii="Arial" w:hAnsi="Arial" w:cs="Arial"/>
          <w:sz w:val="19"/>
          <w:szCs w:val="19"/>
          <w:u w:val="single"/>
        </w:rPr>
        <w:t>Niederschrift über eine förmliche Verpflichtung</w:t>
      </w:r>
    </w:p>
    <w:p w14:paraId="1C97AE84" w14:textId="77777777" w:rsidR="00C74923" w:rsidRPr="000E3A82" w:rsidRDefault="00C74923" w:rsidP="00C74923">
      <w:pPr>
        <w:spacing w:after="0"/>
        <w:jc w:val="center"/>
        <w:rPr>
          <w:rFonts w:ascii="Arial" w:hAnsi="Arial" w:cs="Arial"/>
          <w:sz w:val="19"/>
          <w:szCs w:val="19"/>
        </w:rPr>
      </w:pPr>
      <w:r w:rsidRPr="000E3A82">
        <w:rPr>
          <w:rFonts w:ascii="Arial" w:hAnsi="Arial" w:cs="Arial"/>
          <w:sz w:val="19"/>
          <w:szCs w:val="19"/>
          <w:u w:val="single"/>
        </w:rPr>
        <w:t>nach dem Verpflichtungsgesetz</w:t>
      </w:r>
    </w:p>
    <w:p w14:paraId="08D37979" w14:textId="77777777" w:rsidR="00C74923" w:rsidRPr="000E3A82" w:rsidRDefault="00C74923" w:rsidP="00C74923">
      <w:pPr>
        <w:spacing w:after="0"/>
        <w:jc w:val="both"/>
        <w:rPr>
          <w:rFonts w:ascii="Arial" w:hAnsi="Arial" w:cs="Arial"/>
          <w:sz w:val="19"/>
          <w:szCs w:val="19"/>
        </w:rPr>
      </w:pPr>
    </w:p>
    <w:p w14:paraId="33E7CB43" w14:textId="77777777" w:rsidR="00C74923" w:rsidRPr="000E3A82" w:rsidRDefault="00C74923" w:rsidP="00C74923">
      <w:pPr>
        <w:spacing w:after="0"/>
        <w:jc w:val="both"/>
        <w:rPr>
          <w:rFonts w:ascii="Arial" w:hAnsi="Arial" w:cs="Arial"/>
          <w:sz w:val="19"/>
          <w:szCs w:val="19"/>
        </w:rPr>
      </w:pPr>
      <w:r w:rsidRPr="000E3A82">
        <w:rPr>
          <w:rFonts w:ascii="Arial" w:hAnsi="Arial" w:cs="Arial"/>
          <w:sz w:val="19"/>
          <w:szCs w:val="19"/>
        </w:rPr>
        <w:t>Gem. § 1 des Gesetzes über die förmliche Verpflichtung nichtbeamteter Personen (Verpflichtungsgesetz) vom 2. März 1974 (BGBl. I S. 547) in der derzeit gültigen Fassung soll verpflichtet werden, wer, ohne Amtsträger (§ 11 Abs. 1 Nr. 2 Strafgesetzbuch) zu sein,</w:t>
      </w:r>
    </w:p>
    <w:p w14:paraId="5E6D8B91" w14:textId="77777777" w:rsidR="00C74923" w:rsidRPr="000E3A82" w:rsidRDefault="00C74923" w:rsidP="00C74923">
      <w:pPr>
        <w:spacing w:after="0"/>
        <w:jc w:val="both"/>
        <w:rPr>
          <w:rFonts w:ascii="Arial" w:hAnsi="Arial" w:cs="Arial"/>
          <w:sz w:val="19"/>
          <w:szCs w:val="19"/>
        </w:rPr>
      </w:pPr>
      <w:r w:rsidRPr="000E3A82">
        <w:rPr>
          <w:rFonts w:ascii="Arial" w:hAnsi="Arial" w:cs="Arial"/>
          <w:sz w:val="19"/>
          <w:szCs w:val="19"/>
        </w:rPr>
        <w:t xml:space="preserve"> </w:t>
      </w:r>
    </w:p>
    <w:p w14:paraId="2B901A26" w14:textId="77777777" w:rsidR="00C74923" w:rsidRPr="000E3A82" w:rsidRDefault="00C74923" w:rsidP="00C74923">
      <w:pPr>
        <w:spacing w:after="0"/>
        <w:ind w:left="426" w:hanging="284"/>
        <w:jc w:val="both"/>
        <w:rPr>
          <w:rFonts w:ascii="Arial" w:hAnsi="Arial" w:cs="Arial"/>
          <w:sz w:val="19"/>
          <w:szCs w:val="19"/>
        </w:rPr>
      </w:pPr>
      <w:r w:rsidRPr="000E3A82">
        <w:rPr>
          <w:rFonts w:ascii="Arial" w:hAnsi="Arial" w:cs="Arial"/>
          <w:sz w:val="19"/>
          <w:szCs w:val="19"/>
        </w:rPr>
        <w:t>1.</w:t>
      </w:r>
      <w:r w:rsidRPr="000E3A82">
        <w:rPr>
          <w:rFonts w:ascii="Arial" w:hAnsi="Arial" w:cs="Arial"/>
          <w:sz w:val="19"/>
          <w:szCs w:val="19"/>
        </w:rPr>
        <w:tab/>
        <w:t xml:space="preserve">bei einer Behörde oder bei einer sonstigen Stelle, die Aufgaben der öffentlichen Verwaltung wahrnimmt, beschäftigt oder für sie tätig ist, </w:t>
      </w:r>
    </w:p>
    <w:p w14:paraId="5247E524" w14:textId="77777777" w:rsidR="00C74923" w:rsidRPr="000E3A82" w:rsidRDefault="00C74923" w:rsidP="00C74923">
      <w:pPr>
        <w:spacing w:after="0"/>
        <w:ind w:left="426" w:hanging="284"/>
        <w:jc w:val="both"/>
        <w:rPr>
          <w:rFonts w:ascii="Arial" w:hAnsi="Arial" w:cs="Arial"/>
          <w:sz w:val="19"/>
          <w:szCs w:val="19"/>
        </w:rPr>
      </w:pPr>
      <w:r w:rsidRPr="000E3A82">
        <w:rPr>
          <w:rFonts w:ascii="Arial" w:hAnsi="Arial" w:cs="Arial"/>
          <w:sz w:val="19"/>
          <w:szCs w:val="19"/>
        </w:rPr>
        <w:t>2.</w:t>
      </w:r>
      <w:r w:rsidRPr="000E3A82">
        <w:rPr>
          <w:rFonts w:ascii="Arial" w:hAnsi="Arial" w:cs="Arial"/>
          <w:sz w:val="19"/>
          <w:szCs w:val="19"/>
        </w:rPr>
        <w:tab/>
        <w:t xml:space="preserve">bei einem Verband oder sonstigen Zusammenschluss, einem Betrieb oder Unternehmen, die für eine Behörde oder sonstige Stelle Aufgaben der öffentlichen Verwaltung ausführen, beschäftigt oder für sie tätig ist oder </w:t>
      </w:r>
    </w:p>
    <w:p w14:paraId="2B2E7EE8" w14:textId="77777777" w:rsidR="00C74923" w:rsidRPr="000E3A82" w:rsidRDefault="00C74923" w:rsidP="00C74923">
      <w:pPr>
        <w:spacing w:after="0"/>
        <w:ind w:left="426" w:hanging="284"/>
        <w:jc w:val="both"/>
        <w:rPr>
          <w:rFonts w:ascii="Arial" w:hAnsi="Arial" w:cs="Arial"/>
          <w:sz w:val="19"/>
          <w:szCs w:val="19"/>
        </w:rPr>
      </w:pPr>
      <w:r w:rsidRPr="000E3A82">
        <w:rPr>
          <w:rFonts w:ascii="Arial" w:hAnsi="Arial" w:cs="Arial"/>
          <w:sz w:val="19"/>
          <w:szCs w:val="19"/>
        </w:rPr>
        <w:t>3.</w:t>
      </w:r>
      <w:r w:rsidRPr="000E3A82">
        <w:rPr>
          <w:rFonts w:ascii="Arial" w:hAnsi="Arial" w:cs="Arial"/>
          <w:sz w:val="19"/>
          <w:szCs w:val="19"/>
        </w:rPr>
        <w:tab/>
        <w:t>als Sachverständiger öffentlich bestellt ist.</w:t>
      </w:r>
    </w:p>
    <w:p w14:paraId="31C7422E" w14:textId="77777777" w:rsidR="00C74923" w:rsidRPr="000E3A82" w:rsidRDefault="00C74923" w:rsidP="00C74923">
      <w:pPr>
        <w:spacing w:after="0"/>
        <w:jc w:val="both"/>
        <w:rPr>
          <w:rFonts w:ascii="Arial" w:hAnsi="Arial" w:cs="Arial"/>
          <w:sz w:val="19"/>
          <w:szCs w:val="19"/>
        </w:rPr>
      </w:pPr>
    </w:p>
    <w:p w14:paraId="4442A585" w14:textId="77777777" w:rsidR="00C74923" w:rsidRPr="000E3A82" w:rsidRDefault="00C74923" w:rsidP="00C74923">
      <w:pPr>
        <w:spacing w:after="0"/>
        <w:jc w:val="both"/>
        <w:rPr>
          <w:rFonts w:ascii="Arial" w:hAnsi="Arial" w:cs="Arial"/>
          <w:sz w:val="19"/>
          <w:szCs w:val="19"/>
        </w:rPr>
      </w:pPr>
      <w:r w:rsidRPr="000E3A82">
        <w:rPr>
          <w:rFonts w:ascii="Arial" w:hAnsi="Arial" w:cs="Arial"/>
          <w:sz w:val="19"/>
          <w:szCs w:val="19"/>
        </w:rPr>
        <w:t xml:space="preserve">Gem. § 2 des Verpflichtungsgesetzes wird die Verpflichtung mündlich vorgenommen. Dabei ist auf die </w:t>
      </w:r>
    </w:p>
    <w:p w14:paraId="4BD4ABBE" w14:textId="77777777" w:rsidR="00C74923" w:rsidRPr="000E3A82" w:rsidRDefault="00C74923" w:rsidP="00C74923">
      <w:pPr>
        <w:spacing w:after="0"/>
        <w:jc w:val="both"/>
        <w:rPr>
          <w:rFonts w:ascii="Arial" w:hAnsi="Arial" w:cs="Arial"/>
          <w:sz w:val="19"/>
          <w:szCs w:val="19"/>
        </w:rPr>
      </w:pPr>
      <w:r w:rsidRPr="000E3A82">
        <w:rPr>
          <w:rFonts w:ascii="Arial" w:hAnsi="Arial" w:cs="Arial"/>
          <w:sz w:val="19"/>
          <w:szCs w:val="19"/>
        </w:rPr>
        <w:t>strafrechtlichen Folgen einer Pflichtverletzung hinzuweisen. Über die Verpflichtung wird eine Niederschrift aufgenommen, die der Verpflichtete mit unterzeichnet.</w:t>
      </w:r>
    </w:p>
    <w:p w14:paraId="38CD7C5A" w14:textId="77777777" w:rsidR="00C74923" w:rsidRDefault="00C74923" w:rsidP="00C7492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Y="-51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C74923" w14:paraId="7607F94D" w14:textId="77777777" w:rsidTr="00C74923">
        <w:trPr>
          <w:trHeight w:val="699"/>
        </w:trPr>
        <w:tc>
          <w:tcPr>
            <w:tcW w:w="6516" w:type="dxa"/>
          </w:tcPr>
          <w:p w14:paraId="204E0E62" w14:textId="1DC0AA87" w:rsidR="00C74923" w:rsidRDefault="00C74923" w:rsidP="00C749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4923">
              <w:rPr>
                <w:rFonts w:ascii="Arial" w:hAnsi="Arial" w:cs="Arial"/>
                <w:sz w:val="16"/>
                <w:szCs w:val="16"/>
              </w:rPr>
              <w:t>Name, Vorname der verpflichteten Person</w:t>
            </w:r>
            <w:r>
              <w:rPr>
                <w:rFonts w:ascii="Arial" w:hAnsi="Arial" w:cs="Arial"/>
                <w:sz w:val="16"/>
                <w:szCs w:val="16"/>
              </w:rPr>
              <w:t>, Auftragnehmer</w:t>
            </w:r>
          </w:p>
          <w:p w14:paraId="035AC222" w14:textId="77777777" w:rsidR="00184060" w:rsidRDefault="00184060" w:rsidP="00C749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E286ADA" w14:textId="489BE391" w:rsidR="001D3469" w:rsidRPr="0009154A" w:rsidRDefault="0009154A" w:rsidP="0009154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29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bookmarkEnd w:id="0"/>
            <w:r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6" w:type="dxa"/>
          </w:tcPr>
          <w:p w14:paraId="473B5705" w14:textId="4A9EFC1D" w:rsidR="00184060" w:rsidRDefault="00C74923" w:rsidP="00C749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4923">
              <w:rPr>
                <w:rFonts w:ascii="Arial" w:hAnsi="Arial" w:cs="Arial"/>
                <w:sz w:val="16"/>
                <w:szCs w:val="16"/>
              </w:rPr>
              <w:t>Geburtsdatum</w:t>
            </w:r>
          </w:p>
          <w:p w14:paraId="503AC245" w14:textId="77777777" w:rsidR="00184060" w:rsidRDefault="00184060" w:rsidP="00C749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980516" w14:textId="1F75FB08" w:rsidR="001D3469" w:rsidRPr="0009154A" w:rsidRDefault="0009154A" w:rsidP="0009154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29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74923" w14:paraId="6C4F4194" w14:textId="77777777" w:rsidTr="006A0E23">
        <w:trPr>
          <w:trHeight w:val="699"/>
        </w:trPr>
        <w:tc>
          <w:tcPr>
            <w:tcW w:w="9062" w:type="dxa"/>
            <w:gridSpan w:val="2"/>
          </w:tcPr>
          <w:p w14:paraId="041090E6" w14:textId="77777777" w:rsidR="00C74923" w:rsidRDefault="00C74923" w:rsidP="00C749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4923">
              <w:rPr>
                <w:rFonts w:ascii="Arial" w:hAnsi="Arial" w:cs="Arial"/>
                <w:sz w:val="16"/>
                <w:szCs w:val="16"/>
              </w:rPr>
              <w:t xml:space="preserve">Für </w:t>
            </w:r>
            <w:r>
              <w:rPr>
                <w:rFonts w:ascii="Arial" w:hAnsi="Arial" w:cs="Arial"/>
                <w:sz w:val="16"/>
                <w:szCs w:val="16"/>
              </w:rPr>
              <w:t>den Auftrag/</w:t>
            </w:r>
            <w:r w:rsidRPr="00C74923">
              <w:rPr>
                <w:rFonts w:ascii="Arial" w:hAnsi="Arial" w:cs="Arial"/>
                <w:sz w:val="16"/>
                <w:szCs w:val="16"/>
              </w:rPr>
              <w:t>die Aufträge</w:t>
            </w:r>
          </w:p>
          <w:p w14:paraId="554B85F1" w14:textId="77777777" w:rsidR="001D3469" w:rsidRDefault="001D3469" w:rsidP="00C7492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AF3F6C9" w14:textId="0C2C3515" w:rsidR="001D3469" w:rsidRPr="0009154A" w:rsidRDefault="0009154A" w:rsidP="0009154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229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793AC53" w14:textId="77777777" w:rsidR="00C74923" w:rsidRPr="000E3A82" w:rsidRDefault="00C74923" w:rsidP="00C74923">
      <w:pPr>
        <w:spacing w:after="0"/>
        <w:jc w:val="both"/>
        <w:rPr>
          <w:rFonts w:ascii="Arial" w:hAnsi="Arial" w:cs="Arial"/>
          <w:sz w:val="19"/>
          <w:szCs w:val="19"/>
        </w:rPr>
      </w:pPr>
      <w:r w:rsidRPr="000E3A82">
        <w:rPr>
          <w:rFonts w:ascii="Arial" w:hAnsi="Arial" w:cs="Arial"/>
          <w:sz w:val="19"/>
          <w:szCs w:val="19"/>
        </w:rPr>
        <w:t>Die v.</w:t>
      </w:r>
      <w:r w:rsidR="005A13A8" w:rsidRPr="000E3A82">
        <w:rPr>
          <w:rFonts w:ascii="Arial" w:hAnsi="Arial" w:cs="Arial"/>
          <w:sz w:val="19"/>
          <w:szCs w:val="19"/>
        </w:rPr>
        <w:t xml:space="preserve"> </w:t>
      </w:r>
      <w:r w:rsidRPr="000E3A82">
        <w:rPr>
          <w:rFonts w:ascii="Arial" w:hAnsi="Arial" w:cs="Arial"/>
          <w:sz w:val="19"/>
          <w:szCs w:val="19"/>
        </w:rPr>
        <w:t xml:space="preserve">g. Person wurde heute nach § 1 des Verpflichtungsgesetzes auf die gewissenhafte Erfüllung ihrer </w:t>
      </w:r>
    </w:p>
    <w:p w14:paraId="3746B2D0" w14:textId="77777777" w:rsidR="00C74923" w:rsidRPr="000E3A82" w:rsidRDefault="00C74923" w:rsidP="00C74923">
      <w:pPr>
        <w:spacing w:after="0"/>
        <w:jc w:val="both"/>
        <w:rPr>
          <w:rFonts w:ascii="Arial" w:hAnsi="Arial" w:cs="Arial"/>
          <w:sz w:val="19"/>
          <w:szCs w:val="19"/>
        </w:rPr>
      </w:pPr>
      <w:r w:rsidRPr="000E3A82">
        <w:rPr>
          <w:rFonts w:ascii="Arial" w:hAnsi="Arial" w:cs="Arial"/>
          <w:sz w:val="19"/>
          <w:szCs w:val="19"/>
        </w:rPr>
        <w:t>Obliegenheiten verpflichtet und gilt damit im Sinne des § 11 Abs. 1 Nr. 4 des Strafgesetzbuches als besonders Verpflichteter. Somit können nachfolgende Vorschriften Anwendung finden:</w:t>
      </w:r>
    </w:p>
    <w:p w14:paraId="2E46940E" w14:textId="77777777" w:rsidR="00C74923" w:rsidRPr="00C74923" w:rsidRDefault="00C74923" w:rsidP="00C749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AAA34B" w14:textId="77777777" w:rsidR="00C74923" w:rsidRPr="00021D3D" w:rsidRDefault="00C74923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 xml:space="preserve">• Verwahrungsbruch gemäß § 133 Abs. 3 StGB </w:t>
      </w:r>
    </w:p>
    <w:p w14:paraId="014755A8" w14:textId="77777777" w:rsidR="00C74923" w:rsidRPr="00021D3D" w:rsidRDefault="00C74923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 xml:space="preserve">• Verletzung der Vertraulichkeit des Wortes gemäß § 201 Abs. 3 StGB </w:t>
      </w:r>
    </w:p>
    <w:p w14:paraId="28ADC69B" w14:textId="77777777" w:rsidR="00C74923" w:rsidRPr="00021D3D" w:rsidRDefault="00C74923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 xml:space="preserve">• Verletzung von Privatgeheimnissen gemäß § 203 Abs. 2 Nr. 2 StGB </w:t>
      </w:r>
    </w:p>
    <w:p w14:paraId="2DA8E11B" w14:textId="77777777" w:rsidR="00C74923" w:rsidRPr="00021D3D" w:rsidRDefault="00C74923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>• Verwertung fremder Geheimnisse gemäß § 204 StGB</w:t>
      </w:r>
    </w:p>
    <w:p w14:paraId="42D0A203" w14:textId="77777777" w:rsidR="00021D3D" w:rsidRPr="00021D3D" w:rsidRDefault="00021D3D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>• Betrug, Computerbetrug, Subventionsbetrug gemäß §</w:t>
      </w:r>
      <w:r w:rsidR="00C74923" w:rsidRPr="00021D3D">
        <w:rPr>
          <w:rFonts w:ascii="Arial" w:hAnsi="Arial" w:cs="Arial"/>
          <w:sz w:val="18"/>
          <w:szCs w:val="18"/>
        </w:rPr>
        <w:t>§ 263, 263a,264</w:t>
      </w:r>
      <w:r w:rsidRPr="00021D3D">
        <w:rPr>
          <w:rFonts w:ascii="Arial" w:hAnsi="Arial" w:cs="Arial"/>
          <w:sz w:val="18"/>
          <w:szCs w:val="18"/>
        </w:rPr>
        <w:t xml:space="preserve"> StGB</w:t>
      </w:r>
    </w:p>
    <w:p w14:paraId="58E41D13" w14:textId="77777777" w:rsidR="00021D3D" w:rsidRPr="00021D3D" w:rsidRDefault="00021D3D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 xml:space="preserve">• Untreue gemäß </w:t>
      </w:r>
      <w:r w:rsidR="00C74923" w:rsidRPr="00021D3D">
        <w:rPr>
          <w:rFonts w:ascii="Arial" w:hAnsi="Arial" w:cs="Arial"/>
          <w:sz w:val="18"/>
          <w:szCs w:val="18"/>
        </w:rPr>
        <w:t>§ 266</w:t>
      </w:r>
      <w:r w:rsidRPr="00021D3D">
        <w:rPr>
          <w:rFonts w:ascii="Arial" w:hAnsi="Arial" w:cs="Arial"/>
          <w:sz w:val="18"/>
          <w:szCs w:val="18"/>
        </w:rPr>
        <w:t xml:space="preserve"> StGB</w:t>
      </w:r>
    </w:p>
    <w:p w14:paraId="423C4B1A" w14:textId="77777777" w:rsidR="00021D3D" w:rsidRDefault="00021D3D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>• Urkundenfälschung, Fälschung technischer Aufzeichnungen, Fälschung beweiserheblicher Daten</w:t>
      </w:r>
      <w:r w:rsidR="00C74923" w:rsidRPr="00021D3D">
        <w:rPr>
          <w:rFonts w:ascii="Arial" w:hAnsi="Arial" w:cs="Arial"/>
          <w:sz w:val="18"/>
          <w:szCs w:val="18"/>
        </w:rPr>
        <w:t xml:space="preserve"> </w:t>
      </w:r>
      <w:r w:rsidRPr="00021D3D">
        <w:rPr>
          <w:rFonts w:ascii="Arial" w:hAnsi="Arial" w:cs="Arial"/>
          <w:sz w:val="18"/>
          <w:szCs w:val="18"/>
        </w:rPr>
        <w:t>gemäß</w:t>
      </w:r>
    </w:p>
    <w:p w14:paraId="1E19FF30" w14:textId="77777777" w:rsidR="00C74923" w:rsidRPr="00021D3D" w:rsidRDefault="00021D3D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C74923" w:rsidRPr="00021D3D">
        <w:rPr>
          <w:rFonts w:ascii="Arial" w:hAnsi="Arial" w:cs="Arial"/>
          <w:sz w:val="18"/>
          <w:szCs w:val="18"/>
        </w:rPr>
        <w:t>§§ 267, 268,269</w:t>
      </w:r>
      <w:r w:rsidRPr="00021D3D">
        <w:rPr>
          <w:rFonts w:ascii="Arial" w:hAnsi="Arial" w:cs="Arial"/>
          <w:sz w:val="18"/>
          <w:szCs w:val="18"/>
        </w:rPr>
        <w:t xml:space="preserve"> StGB</w:t>
      </w:r>
    </w:p>
    <w:p w14:paraId="665F86A3" w14:textId="77777777" w:rsidR="00C74923" w:rsidRPr="00021D3D" w:rsidRDefault="00C74923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 xml:space="preserve">• Vorteilsnahme gemäß § 331 StGB </w:t>
      </w:r>
    </w:p>
    <w:p w14:paraId="79BD0FE0" w14:textId="77777777" w:rsidR="00C74923" w:rsidRPr="00021D3D" w:rsidRDefault="00C74923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 xml:space="preserve">• Bestechung, Bestechlichkeit gemäß §§ 332. 334, 335 StGB </w:t>
      </w:r>
    </w:p>
    <w:p w14:paraId="6516FD75" w14:textId="77777777" w:rsidR="00C74923" w:rsidRPr="00021D3D" w:rsidRDefault="00C74923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 xml:space="preserve">• Verletzung von Dienstgeheimnissen und einer besonderen Geheimhaltungspflicht </w:t>
      </w:r>
    </w:p>
    <w:p w14:paraId="3E065FB9" w14:textId="77777777" w:rsidR="00C74923" w:rsidRPr="00021D3D" w:rsidRDefault="00C74923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 xml:space="preserve">• gemäß § 353b Abs. 1 Nr. 2 StGB </w:t>
      </w:r>
    </w:p>
    <w:p w14:paraId="15931D78" w14:textId="77777777" w:rsidR="00C74923" w:rsidRPr="00021D3D" w:rsidRDefault="00C74923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 xml:space="preserve">• Verletzung von Steuergeheimnissen gemäß § 355 Abs. 2 StGB </w:t>
      </w:r>
    </w:p>
    <w:p w14:paraId="47DE2F3A" w14:textId="77777777" w:rsidR="00C74923" w:rsidRPr="00021D3D" w:rsidRDefault="00C74923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 xml:space="preserve">• Datengeheimnis nach § 6 und Straftaten nach § 33 Landesdatenschutzgesetz NRW </w:t>
      </w:r>
    </w:p>
    <w:p w14:paraId="31C6AB79" w14:textId="77777777" w:rsidR="00021D3D" w:rsidRDefault="00C74923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 xml:space="preserve">• </w:t>
      </w:r>
      <w:r w:rsidR="00021D3D" w:rsidRPr="00021D3D">
        <w:rPr>
          <w:rFonts w:ascii="Arial" w:hAnsi="Arial" w:cs="Arial"/>
          <w:sz w:val="18"/>
          <w:szCs w:val="18"/>
        </w:rPr>
        <w:t>Verleitung eines Untergebenen zu einer Strafta</w:t>
      </w:r>
      <w:r w:rsidR="00021D3D">
        <w:rPr>
          <w:rFonts w:ascii="Arial" w:hAnsi="Arial" w:cs="Arial"/>
          <w:sz w:val="18"/>
          <w:szCs w:val="18"/>
        </w:rPr>
        <w:t xml:space="preserve">t gemäß </w:t>
      </w:r>
      <w:r w:rsidR="00021D3D" w:rsidRPr="00021D3D">
        <w:rPr>
          <w:rFonts w:ascii="Arial" w:hAnsi="Arial" w:cs="Arial"/>
          <w:sz w:val="18"/>
          <w:szCs w:val="18"/>
        </w:rPr>
        <w:t xml:space="preserve">§ 357 </w:t>
      </w:r>
      <w:r w:rsidR="00021D3D">
        <w:rPr>
          <w:rFonts w:ascii="Arial" w:hAnsi="Arial" w:cs="Arial"/>
          <w:sz w:val="18"/>
          <w:szCs w:val="18"/>
        </w:rPr>
        <w:t>StGB</w:t>
      </w:r>
    </w:p>
    <w:p w14:paraId="2DAD0DE9" w14:textId="77777777" w:rsidR="00021D3D" w:rsidRPr="00021D3D" w:rsidRDefault="00021D3D" w:rsidP="00C74923">
      <w:pPr>
        <w:spacing w:after="0"/>
        <w:ind w:left="284"/>
        <w:jc w:val="both"/>
        <w:rPr>
          <w:rFonts w:ascii="Arial" w:hAnsi="Arial" w:cs="Arial"/>
          <w:sz w:val="18"/>
          <w:szCs w:val="18"/>
        </w:rPr>
      </w:pPr>
      <w:r w:rsidRPr="00021D3D">
        <w:rPr>
          <w:rFonts w:ascii="Arial" w:hAnsi="Arial" w:cs="Arial"/>
          <w:sz w:val="18"/>
          <w:szCs w:val="18"/>
        </w:rPr>
        <w:t xml:space="preserve">• </w:t>
      </w:r>
      <w:r>
        <w:rPr>
          <w:rFonts w:ascii="Arial" w:hAnsi="Arial" w:cs="Arial"/>
          <w:sz w:val="18"/>
          <w:szCs w:val="18"/>
        </w:rPr>
        <w:t xml:space="preserve">Nebenfolgen gemäß </w:t>
      </w:r>
      <w:r w:rsidRPr="00021D3D">
        <w:rPr>
          <w:rFonts w:ascii="Arial" w:hAnsi="Arial" w:cs="Arial"/>
          <w:sz w:val="18"/>
          <w:szCs w:val="18"/>
        </w:rPr>
        <w:t>§ 3</w:t>
      </w:r>
      <w:r>
        <w:rPr>
          <w:rFonts w:ascii="Arial" w:hAnsi="Arial" w:cs="Arial"/>
          <w:sz w:val="18"/>
          <w:szCs w:val="18"/>
        </w:rPr>
        <w:t>5</w:t>
      </w:r>
      <w:r w:rsidRPr="00021D3D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StGB</w:t>
      </w:r>
    </w:p>
    <w:p w14:paraId="62FB6C06" w14:textId="77777777" w:rsidR="00C74923" w:rsidRPr="00C74923" w:rsidRDefault="00C74923" w:rsidP="00C749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6C0DDA" w14:textId="77777777" w:rsidR="00C74923" w:rsidRPr="000E3A82" w:rsidRDefault="00C74923" w:rsidP="00C74923">
      <w:pPr>
        <w:spacing w:after="0"/>
        <w:jc w:val="both"/>
        <w:rPr>
          <w:rFonts w:ascii="Arial" w:hAnsi="Arial" w:cs="Arial"/>
          <w:sz w:val="19"/>
          <w:szCs w:val="19"/>
        </w:rPr>
      </w:pPr>
      <w:r w:rsidRPr="000E3A82">
        <w:rPr>
          <w:rFonts w:ascii="Arial" w:hAnsi="Arial" w:cs="Arial"/>
          <w:sz w:val="19"/>
          <w:szCs w:val="19"/>
        </w:rPr>
        <w:t>Die verpflichtete Person erklärt hiermit, auf die strafrechtlichen Folgen einer Pflichtverletzung hingewiesen worden zu sein (§ 1 Abs. 2 des Verpflichtungsgesetzes) und eine Abschrift dieser Niederschrift erhalten zu haben. Die strafrechtlich relevanten Vorschriften wurden in der aktuellen Fassung</w:t>
      </w:r>
      <w:r w:rsidR="000E3A82" w:rsidRPr="000E3A82">
        <w:rPr>
          <w:rFonts w:ascii="Arial" w:hAnsi="Arial" w:cs="Arial"/>
          <w:sz w:val="19"/>
          <w:szCs w:val="19"/>
        </w:rPr>
        <w:t xml:space="preserve"> mit Fundstellen</w:t>
      </w:r>
      <w:r w:rsidRPr="000E3A82">
        <w:rPr>
          <w:rFonts w:ascii="Arial" w:hAnsi="Arial" w:cs="Arial"/>
          <w:sz w:val="19"/>
          <w:szCs w:val="19"/>
        </w:rPr>
        <w:t xml:space="preserve"> digital zur Einsicht vorgelegt und von der verpflichteten Person zur Kenntnis genommen.</w:t>
      </w:r>
      <w:r w:rsidR="000E3A82" w:rsidRPr="000E3A82">
        <w:rPr>
          <w:rFonts w:ascii="Arial" w:hAnsi="Arial" w:cs="Arial"/>
          <w:sz w:val="19"/>
          <w:szCs w:val="19"/>
        </w:rPr>
        <w:t xml:space="preserve"> Auf einen Ausdruck der Vorschriften wird verzichtet.</w:t>
      </w:r>
    </w:p>
    <w:p w14:paraId="665C3EB5" w14:textId="77777777" w:rsidR="00C74923" w:rsidRDefault="00C74923" w:rsidP="00C749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DE8FC6" w14:textId="77777777" w:rsidR="00C74923" w:rsidRPr="00C74923" w:rsidRDefault="00C74923" w:rsidP="00C749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8B4BC1" w14:textId="04B1A893" w:rsidR="00C74923" w:rsidRDefault="00C74923" w:rsidP="000915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Stolberg</w:t>
      </w:r>
      <w:r w:rsidRPr="00C74923">
        <w:rPr>
          <w:rFonts w:ascii="Arial" w:hAnsi="Arial" w:cs="Arial"/>
          <w:sz w:val="20"/>
          <w:szCs w:val="20"/>
        </w:rPr>
        <w:t>, den</w:t>
      </w:r>
      <w:r w:rsidR="001D3469">
        <w:rPr>
          <w:rFonts w:ascii="Arial" w:hAnsi="Arial" w:cs="Arial"/>
          <w:sz w:val="20"/>
          <w:szCs w:val="20"/>
        </w:rPr>
        <w:t xml:space="preserve">  </w:t>
      </w:r>
      <w:r w:rsidR="0009154A">
        <w:rPr>
          <w:rFonts w:ascii="Arial" w:hAnsi="Arial" w:cs="Arial"/>
          <w:bCs/>
        </w:rPr>
        <w:fldChar w:fldCharType="begin">
          <w:ffData>
            <w:name w:val="Text229"/>
            <w:enabled/>
            <w:calcOnExit/>
            <w:textInput/>
          </w:ffData>
        </w:fldChar>
      </w:r>
      <w:r w:rsidR="0009154A">
        <w:rPr>
          <w:rFonts w:ascii="Arial" w:hAnsi="Arial" w:cs="Arial"/>
          <w:bCs/>
        </w:rPr>
        <w:instrText xml:space="preserve"> FORMTEXT </w:instrText>
      </w:r>
      <w:r w:rsidR="0009154A">
        <w:rPr>
          <w:rFonts w:ascii="Arial" w:hAnsi="Arial" w:cs="Arial"/>
          <w:bCs/>
        </w:rPr>
      </w:r>
      <w:r w:rsidR="0009154A">
        <w:rPr>
          <w:rFonts w:ascii="Arial" w:hAnsi="Arial" w:cs="Arial"/>
          <w:bCs/>
        </w:rPr>
        <w:fldChar w:fldCharType="separate"/>
      </w:r>
      <w:r w:rsidR="0009154A">
        <w:rPr>
          <w:rFonts w:ascii="Arial" w:hAnsi="Arial" w:cs="Arial"/>
          <w:bCs/>
          <w:noProof/>
        </w:rPr>
        <w:t> </w:t>
      </w:r>
      <w:r w:rsidR="0009154A">
        <w:rPr>
          <w:rFonts w:ascii="Arial" w:hAnsi="Arial" w:cs="Arial"/>
          <w:bCs/>
          <w:noProof/>
        </w:rPr>
        <w:t> </w:t>
      </w:r>
      <w:r w:rsidR="0009154A">
        <w:rPr>
          <w:rFonts w:ascii="Arial" w:hAnsi="Arial" w:cs="Arial"/>
          <w:bCs/>
          <w:noProof/>
        </w:rPr>
        <w:t> </w:t>
      </w:r>
      <w:r w:rsidR="0009154A">
        <w:rPr>
          <w:rFonts w:ascii="Arial" w:hAnsi="Arial" w:cs="Arial"/>
          <w:bCs/>
          <w:noProof/>
        </w:rPr>
        <w:t> </w:t>
      </w:r>
      <w:r w:rsidR="0009154A">
        <w:rPr>
          <w:rFonts w:ascii="Arial" w:hAnsi="Arial" w:cs="Arial"/>
          <w:bCs/>
          <w:noProof/>
        </w:rPr>
        <w:t> </w:t>
      </w:r>
      <w:r w:rsidR="0009154A">
        <w:rPr>
          <w:rFonts w:ascii="Arial" w:hAnsi="Arial" w:cs="Arial"/>
          <w:bCs/>
        </w:rPr>
        <w:fldChar w:fldCharType="end"/>
      </w:r>
    </w:p>
    <w:p w14:paraId="27E5E51C" w14:textId="77777777" w:rsidR="005A13A8" w:rsidRDefault="005A13A8" w:rsidP="00C749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932D47" w14:textId="77777777" w:rsidR="00C74923" w:rsidRDefault="00C74923" w:rsidP="00C7492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3CC8EB" w14:textId="77777777" w:rsidR="00C74923" w:rsidRPr="00C74923" w:rsidRDefault="00C74923" w:rsidP="00C7492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</w:t>
      </w:r>
    </w:p>
    <w:p w14:paraId="5CF4CE30" w14:textId="77777777" w:rsidR="0081221A" w:rsidRPr="00C74923" w:rsidRDefault="00C74923" w:rsidP="005A13A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C74923">
        <w:rPr>
          <w:rFonts w:ascii="Arial" w:hAnsi="Arial" w:cs="Arial"/>
          <w:sz w:val="16"/>
          <w:szCs w:val="16"/>
        </w:rPr>
        <w:t>Unterschrift der verpflichteten Person</w:t>
      </w:r>
      <w:r w:rsidRPr="00C749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C74923">
        <w:rPr>
          <w:rFonts w:ascii="Arial" w:hAnsi="Arial" w:cs="Arial"/>
          <w:sz w:val="16"/>
          <w:szCs w:val="16"/>
        </w:rPr>
        <w:t>Unterschrift der verpflichtenden Person</w:t>
      </w:r>
      <w:r w:rsidRPr="00C74923">
        <w:rPr>
          <w:rFonts w:ascii="Arial" w:hAnsi="Arial" w:cs="Arial"/>
          <w:sz w:val="20"/>
          <w:szCs w:val="20"/>
        </w:rPr>
        <w:t xml:space="preserve"> </w:t>
      </w:r>
    </w:p>
    <w:sectPr w:rsidR="0081221A" w:rsidRPr="00C74923" w:rsidSect="0090484F">
      <w:footerReference w:type="default" r:id="rId9"/>
      <w:pgSz w:w="11906" w:h="16838"/>
      <w:pgMar w:top="851" w:right="1417" w:bottom="851" w:left="1417" w:header="426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D35E7" w14:textId="77777777" w:rsidR="003E2356" w:rsidRDefault="003E2356" w:rsidP="003E2356">
      <w:pPr>
        <w:spacing w:after="0" w:line="240" w:lineRule="auto"/>
      </w:pPr>
      <w:r>
        <w:separator/>
      </w:r>
    </w:p>
  </w:endnote>
  <w:endnote w:type="continuationSeparator" w:id="0">
    <w:p w14:paraId="5B4305C6" w14:textId="77777777" w:rsidR="003E2356" w:rsidRDefault="003E2356" w:rsidP="003E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1AF6B" w14:textId="6DC4097F" w:rsidR="0090484F" w:rsidRPr="0090484F" w:rsidRDefault="0090484F" w:rsidP="0090484F">
    <w:pPr>
      <w:pStyle w:val="Fuzeil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65.5-</w:t>
    </w:r>
    <w:r w:rsidR="00334A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>.81.0</w:t>
    </w:r>
    <w:r w:rsidR="00334ABC">
      <w:rPr>
        <w:rFonts w:ascii="Arial" w:hAnsi="Arial" w:cs="Arial"/>
        <w:sz w:val="16"/>
        <w:szCs w:val="16"/>
      </w:rPr>
      <w:t>0</w:t>
    </w:r>
    <w:r>
      <w:rPr>
        <w:rFonts w:ascii="Arial" w:hAnsi="Arial" w:cs="Arial"/>
        <w:sz w:val="16"/>
        <w:szCs w:val="16"/>
      </w:rPr>
      <w:t>-202</w:t>
    </w:r>
    <w:r w:rsidR="00796120">
      <w:rPr>
        <w:rFonts w:ascii="Arial" w:hAnsi="Arial" w:cs="Arial"/>
        <w:sz w:val="16"/>
        <w:szCs w:val="16"/>
      </w:rPr>
      <w:t>3</w:t>
    </w:r>
    <w:r>
      <w:rPr>
        <w:rFonts w:ascii="Arial" w:hAnsi="Arial" w:cs="Arial"/>
        <w:sz w:val="16"/>
        <w:szCs w:val="16"/>
      </w:rPr>
      <w:t>.0</w:t>
    </w:r>
    <w:r w:rsidR="00796120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D06B8" w14:textId="77777777" w:rsidR="003E2356" w:rsidRDefault="003E2356" w:rsidP="003E2356">
      <w:pPr>
        <w:spacing w:after="0" w:line="240" w:lineRule="auto"/>
      </w:pPr>
      <w:r>
        <w:separator/>
      </w:r>
    </w:p>
  </w:footnote>
  <w:footnote w:type="continuationSeparator" w:id="0">
    <w:p w14:paraId="2C9D97CD" w14:textId="77777777" w:rsidR="003E2356" w:rsidRDefault="003E2356" w:rsidP="003E23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k5YOdbLRR5e1fW/In/vxOzcE6EUAXzcOrxle2wJc7RxGwbJCfIt3UI9WlNNbGvkc4gDjwISmziRoNkgDzkNEjQ==" w:salt="2S3qTS7KAlJobyC1N2ke6w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23"/>
    <w:rsid w:val="00021D3D"/>
    <w:rsid w:val="000910A9"/>
    <w:rsid w:val="0009154A"/>
    <w:rsid w:val="000E3A82"/>
    <w:rsid w:val="00184060"/>
    <w:rsid w:val="001D3469"/>
    <w:rsid w:val="0021177F"/>
    <w:rsid w:val="002521A7"/>
    <w:rsid w:val="002F0C2E"/>
    <w:rsid w:val="00334ABC"/>
    <w:rsid w:val="003E2356"/>
    <w:rsid w:val="00573AD5"/>
    <w:rsid w:val="00593333"/>
    <w:rsid w:val="005A13A8"/>
    <w:rsid w:val="00796120"/>
    <w:rsid w:val="007A0142"/>
    <w:rsid w:val="0081221A"/>
    <w:rsid w:val="008F7639"/>
    <w:rsid w:val="0090484F"/>
    <w:rsid w:val="00B10773"/>
    <w:rsid w:val="00B75288"/>
    <w:rsid w:val="00BA324B"/>
    <w:rsid w:val="00C7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AEAC748"/>
  <w15:chartTrackingRefBased/>
  <w15:docId w15:val="{06A82A10-895C-4270-816A-105BDAD2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7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E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2356"/>
  </w:style>
  <w:style w:type="paragraph" w:styleId="Fuzeile">
    <w:name w:val="footer"/>
    <w:basedOn w:val="Standard"/>
    <w:link w:val="FuzeileZchn"/>
    <w:uiPriority w:val="99"/>
    <w:unhideWhenUsed/>
    <w:rsid w:val="003E2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2356"/>
  </w:style>
  <w:style w:type="character" w:styleId="Platzhaltertext">
    <w:name w:val="Placeholder Text"/>
    <w:basedOn w:val="Absatz-Standardschriftart"/>
    <w:uiPriority w:val="99"/>
    <w:semiHidden/>
    <w:rsid w:val="002521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FB6B2-6979-471F-8FF1-3C23AA82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Beckers, Ulrike</dc:creator>
  <cp:keywords/>
  <dc:description/>
  <cp:lastModifiedBy>Schweitzer, Melanie (Stolberg)</cp:lastModifiedBy>
  <cp:revision>10</cp:revision>
  <cp:lastPrinted>2022-12-16T10:35:00Z</cp:lastPrinted>
  <dcterms:created xsi:type="dcterms:W3CDTF">2023-11-13T11:28:00Z</dcterms:created>
  <dcterms:modified xsi:type="dcterms:W3CDTF">2024-06-26T12:02:00Z</dcterms:modified>
</cp:coreProperties>
</file>