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7FDC7" w14:textId="77777777" w:rsidR="001356E9" w:rsidRPr="001356E9" w:rsidRDefault="001356E9" w:rsidP="001356E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de-DE"/>
        </w:rPr>
      </w:pPr>
      <w:r w:rsidRPr="001356E9">
        <w:rPr>
          <w:rFonts w:ascii="Arial" w:eastAsia="Times New Roman" w:hAnsi="Arial" w:cs="Arial"/>
          <w:b/>
          <w:bCs/>
          <w:kern w:val="36"/>
          <w:sz w:val="28"/>
          <w:szCs w:val="28"/>
          <w:lang w:eastAsia="de-DE"/>
        </w:rPr>
        <w:t>Leistungsbeschreibung 2026-031</w:t>
      </w:r>
    </w:p>
    <w:p w14:paraId="155FB847" w14:textId="63FC9BC2" w:rsidR="001356E9" w:rsidRPr="001356E9" w:rsidRDefault="001356E9" w:rsidP="001356E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de-DE"/>
        </w:rPr>
      </w:pPr>
      <w:r w:rsidRPr="001356E9">
        <w:rPr>
          <w:rFonts w:ascii="Arial" w:eastAsia="Times New Roman" w:hAnsi="Arial" w:cs="Arial"/>
          <w:b/>
          <w:bCs/>
          <w:kern w:val="36"/>
          <w:sz w:val="28"/>
          <w:szCs w:val="28"/>
          <w:lang w:eastAsia="de-DE"/>
        </w:rPr>
        <w:t xml:space="preserve">Inhaltlich-didaktische Konzeption sowie technische Umsetzung zweier Qualifizierungsmodule im Drittmittelprojekt CIRCULATE </w:t>
      </w:r>
    </w:p>
    <w:p w14:paraId="133FCB14" w14:textId="728C2C3C" w:rsidR="00BD0C54" w:rsidRPr="00CD0E7A" w:rsidRDefault="00BD0C54" w:rsidP="00500D9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C5F274" w14:textId="5352B1B1" w:rsidR="00D90253" w:rsidRPr="00D90253" w:rsidRDefault="00D90253" w:rsidP="00500D9B">
      <w:pPr>
        <w:pStyle w:val="Listenabsatz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  <w:bCs/>
        </w:rPr>
      </w:pPr>
      <w:r w:rsidRPr="00D90253">
        <w:rPr>
          <w:rFonts w:ascii="Arial" w:hAnsi="Arial" w:cs="Arial"/>
          <w:b/>
          <w:bCs/>
        </w:rPr>
        <w:t>Vorstellung des Lehrstuhls Entrepreneurship und Ökonomische Bildung</w:t>
      </w:r>
    </w:p>
    <w:p w14:paraId="744E09A0" w14:textId="609474B3" w:rsidR="007B40FF" w:rsidRDefault="00A57AD3" w:rsidP="00500D9B">
      <w:pPr>
        <w:spacing w:line="360" w:lineRule="auto"/>
        <w:jc w:val="both"/>
        <w:rPr>
          <w:rFonts w:ascii="Arial" w:hAnsi="Arial" w:cs="Arial"/>
        </w:rPr>
      </w:pPr>
      <w:r w:rsidRPr="00A57AD3">
        <w:rPr>
          <w:rFonts w:ascii="Arial" w:hAnsi="Arial" w:cs="Arial"/>
        </w:rPr>
        <w:t xml:space="preserve">Der Lehrstuhl </w:t>
      </w:r>
      <w:r>
        <w:rPr>
          <w:rFonts w:ascii="Arial" w:hAnsi="Arial" w:cs="Arial"/>
        </w:rPr>
        <w:t>Entrepreneurship und Ökonomische Bildung an der Fakultät Wirtschaftswissenschaften der Technischen Universität Dortmund zeichnet sich durch eine</w:t>
      </w:r>
      <w:r w:rsidRPr="00A57AD3">
        <w:rPr>
          <w:rFonts w:ascii="Arial" w:hAnsi="Arial" w:cs="Arial"/>
        </w:rPr>
        <w:t xml:space="preserve"> umfassende Expertise in den Bereichen Entrepreneurship, ökonomische Bildung und Nachhaltigkeitstransformation </w:t>
      </w:r>
      <w:r>
        <w:rPr>
          <w:rFonts w:ascii="Arial" w:hAnsi="Arial" w:cs="Arial"/>
        </w:rPr>
        <w:t>aus</w:t>
      </w:r>
      <w:r w:rsidRPr="00A57AD3">
        <w:rPr>
          <w:rFonts w:ascii="Arial" w:hAnsi="Arial" w:cs="Arial"/>
        </w:rPr>
        <w:t>. Die Forschungsaktivitäten des Lehrstuhls konzentrieren sich auf innovative Ansätze der (digitalen) Ökonomischen Bildung und des (</w:t>
      </w:r>
      <w:proofErr w:type="spellStart"/>
      <w:r w:rsidRPr="00A57AD3">
        <w:rPr>
          <w:rFonts w:ascii="Arial" w:hAnsi="Arial" w:cs="Arial"/>
        </w:rPr>
        <w:t>Sustainable</w:t>
      </w:r>
      <w:proofErr w:type="spellEnd"/>
      <w:r w:rsidRPr="00A57AD3">
        <w:rPr>
          <w:rFonts w:ascii="Arial" w:hAnsi="Arial" w:cs="Arial"/>
        </w:rPr>
        <w:t xml:space="preserve">) Entrepreneurships sowie auf die komplexitätswissenschaftliche Untersuchung von Selbstorganisationsprozessen, insbesondere in </w:t>
      </w:r>
      <w:proofErr w:type="spellStart"/>
      <w:r w:rsidRPr="00A57AD3">
        <w:rPr>
          <w:rFonts w:ascii="Arial" w:hAnsi="Arial" w:cs="Arial"/>
        </w:rPr>
        <w:t>entrepreneurialen</w:t>
      </w:r>
      <w:proofErr w:type="spellEnd"/>
      <w:r w:rsidRPr="00A57AD3">
        <w:rPr>
          <w:rFonts w:ascii="Arial" w:hAnsi="Arial" w:cs="Arial"/>
        </w:rPr>
        <w:t xml:space="preserve"> und wirtschaftsdidaktischen Zusammenhängen. In</w:t>
      </w:r>
      <w:r>
        <w:rPr>
          <w:rFonts w:ascii="Arial" w:hAnsi="Arial" w:cs="Arial"/>
        </w:rPr>
        <w:t xml:space="preserve"> </w:t>
      </w:r>
      <w:r w:rsidRPr="00A57AD3">
        <w:rPr>
          <w:rFonts w:ascii="Arial" w:hAnsi="Arial" w:cs="Arial"/>
        </w:rPr>
        <w:t>diesem Kontext beschäftigt sich der Lehrstuhl u. a. mit der Entwicklung und Durchführung digitaler Lehr-Lernmethoden sowie mit dem Einsatz von Künstlicher Intelligenz (KI) in Bildungsprozessen. Durch die Forschungsaktivitäten im</w:t>
      </w:r>
      <w:r>
        <w:rPr>
          <w:rFonts w:ascii="Arial" w:hAnsi="Arial" w:cs="Arial"/>
        </w:rPr>
        <w:t xml:space="preserve"> </w:t>
      </w:r>
      <w:r w:rsidRPr="00A57AD3">
        <w:rPr>
          <w:rFonts w:ascii="Arial" w:hAnsi="Arial" w:cs="Arial"/>
        </w:rPr>
        <w:t>Zusammenhang mit Selbstorganisationsprozessen, weist der Lehrstuhl umfassende Kompetenzen</w:t>
      </w:r>
      <w:r>
        <w:rPr>
          <w:rFonts w:ascii="Arial" w:hAnsi="Arial" w:cs="Arial"/>
        </w:rPr>
        <w:t xml:space="preserve"> </w:t>
      </w:r>
      <w:r w:rsidRPr="00A57AD3">
        <w:rPr>
          <w:rFonts w:ascii="Arial" w:hAnsi="Arial" w:cs="Arial"/>
        </w:rPr>
        <w:t>im Bereich der Synergetik auf, insbesondere im Hinblick auf Synergetik in Lernprozessen. Inhaber des Lehrstuhls Entrepreneurship und Ökonomische Bildung ist Univ.-Prof.</w:t>
      </w:r>
      <w:r>
        <w:rPr>
          <w:rFonts w:ascii="Arial" w:hAnsi="Arial" w:cs="Arial"/>
        </w:rPr>
        <w:t xml:space="preserve"> </w:t>
      </w:r>
      <w:r w:rsidRPr="00A57AD3">
        <w:rPr>
          <w:rFonts w:ascii="Arial" w:hAnsi="Arial" w:cs="Arial"/>
        </w:rPr>
        <w:t xml:space="preserve">Dr. Andreas </w:t>
      </w:r>
      <w:proofErr w:type="spellStart"/>
      <w:r w:rsidRPr="00A57AD3">
        <w:rPr>
          <w:rFonts w:ascii="Arial" w:hAnsi="Arial" w:cs="Arial"/>
        </w:rPr>
        <w:t>Liening</w:t>
      </w:r>
      <w:proofErr w:type="spellEnd"/>
      <w:r w:rsidRPr="00A57AD3">
        <w:rPr>
          <w:rFonts w:ascii="Arial" w:hAnsi="Arial" w:cs="Arial"/>
        </w:rPr>
        <w:t>, der wesentlich zur Verankerung komplexitätswissenschaftlicher Methoden in</w:t>
      </w:r>
      <w:r>
        <w:rPr>
          <w:rFonts w:ascii="Arial" w:hAnsi="Arial" w:cs="Arial"/>
        </w:rPr>
        <w:t xml:space="preserve"> </w:t>
      </w:r>
      <w:r w:rsidRPr="00A57AD3">
        <w:rPr>
          <w:rFonts w:ascii="Arial" w:hAnsi="Arial" w:cs="Arial"/>
        </w:rPr>
        <w:t>den Wirtschaftswissenschaften beigetragen hat. Darüber hinaus verfügt er über mehr als 30 Jahre</w:t>
      </w:r>
      <w:r>
        <w:rPr>
          <w:rFonts w:ascii="Arial" w:hAnsi="Arial" w:cs="Arial"/>
        </w:rPr>
        <w:t xml:space="preserve"> </w:t>
      </w:r>
      <w:r w:rsidRPr="00A57AD3">
        <w:rPr>
          <w:rFonts w:ascii="Arial" w:hAnsi="Arial" w:cs="Arial"/>
        </w:rPr>
        <w:t>Expertise in der Gestaltung und Implementierung digitaler Technologien im Bildungskontext.</w:t>
      </w:r>
    </w:p>
    <w:p w14:paraId="4257C6EF" w14:textId="77777777" w:rsidR="0017362A" w:rsidRPr="00D90253" w:rsidRDefault="0017362A" w:rsidP="00500D9B">
      <w:pPr>
        <w:spacing w:line="360" w:lineRule="auto"/>
        <w:jc w:val="both"/>
        <w:rPr>
          <w:rFonts w:ascii="Arial" w:hAnsi="Arial" w:cs="Arial"/>
        </w:rPr>
      </w:pPr>
    </w:p>
    <w:p w14:paraId="7F9701FD" w14:textId="27DA46AF" w:rsidR="00D90253" w:rsidRPr="00D90253" w:rsidRDefault="00D90253" w:rsidP="00665142">
      <w:pPr>
        <w:pStyle w:val="Listenabsatz"/>
        <w:numPr>
          <w:ilvl w:val="0"/>
          <w:numId w:val="23"/>
        </w:numPr>
        <w:spacing w:line="360" w:lineRule="auto"/>
        <w:rPr>
          <w:rFonts w:ascii="Arial" w:hAnsi="Arial" w:cs="Arial"/>
          <w:b/>
          <w:bCs/>
        </w:rPr>
      </w:pPr>
      <w:r w:rsidRPr="00D90253">
        <w:rPr>
          <w:rFonts w:ascii="Arial" w:hAnsi="Arial" w:cs="Arial"/>
          <w:b/>
          <w:bCs/>
        </w:rPr>
        <w:t>Kurzbeschreibung des Projekts CIRCULATE</w:t>
      </w:r>
    </w:p>
    <w:p w14:paraId="74B86859" w14:textId="4E1120D2" w:rsidR="00D90253" w:rsidRPr="00D90253" w:rsidRDefault="00D90253" w:rsidP="00500D9B">
      <w:p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 xml:space="preserve">Das Verbundprojekt CIRCULATE verfolgt das Ziel, die Umsetzung der Kreislaufwirtschaft in kleinen und mittleren Unternehmen (KMU) der produzierenden Industrie – mit besonderem Fokus auf die Verpackungsbranche – durch </w:t>
      </w:r>
      <w:r w:rsidR="0017362A">
        <w:rPr>
          <w:rFonts w:ascii="Arial" w:hAnsi="Arial" w:cs="Arial"/>
        </w:rPr>
        <w:t xml:space="preserve">innovative, </w:t>
      </w:r>
      <w:r w:rsidRPr="00D90253">
        <w:rPr>
          <w:rFonts w:ascii="Arial" w:hAnsi="Arial" w:cs="Arial"/>
        </w:rPr>
        <w:t>digitale Aus- und Weiterbildungsangebote systematisch zu fördern.</w:t>
      </w:r>
    </w:p>
    <w:p w14:paraId="77FFD91C" w14:textId="2D390162" w:rsidR="007B40FF" w:rsidRDefault="00D90253" w:rsidP="00500D9B">
      <w:p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Zu diesem Zweck werden vier modulare Qualifizierungsangebote entwickelt, die Fach- und Führungskräfte zu sogenannten „</w:t>
      </w:r>
      <w:proofErr w:type="spellStart"/>
      <w:r w:rsidRPr="00D90253">
        <w:rPr>
          <w:rFonts w:ascii="Arial" w:hAnsi="Arial" w:cs="Arial"/>
        </w:rPr>
        <w:t>Circular</w:t>
      </w:r>
      <w:proofErr w:type="spellEnd"/>
      <w:r w:rsidRPr="00D90253">
        <w:rPr>
          <w:rFonts w:ascii="Arial" w:hAnsi="Arial" w:cs="Arial"/>
        </w:rPr>
        <w:t xml:space="preserve"> </w:t>
      </w:r>
      <w:proofErr w:type="spellStart"/>
      <w:r w:rsidRPr="00D90253">
        <w:rPr>
          <w:rFonts w:ascii="Arial" w:hAnsi="Arial" w:cs="Arial"/>
        </w:rPr>
        <w:t>Advocates</w:t>
      </w:r>
      <w:proofErr w:type="spellEnd"/>
      <w:r w:rsidRPr="00D90253">
        <w:rPr>
          <w:rFonts w:ascii="Arial" w:hAnsi="Arial" w:cs="Arial"/>
        </w:rPr>
        <w:t>“ befähigen. Während die Module 1 und 2 projektintern konzipiert und umgesetzt werden, ist für die technisch orientierten Module 3 und 4 die Einbindung externer fachlicher und didaktischer Expertise vorgesehen.</w:t>
      </w:r>
    </w:p>
    <w:p w14:paraId="57CB4C61" w14:textId="2092BFEA" w:rsidR="0017362A" w:rsidRDefault="0017362A" w:rsidP="00500D9B">
      <w:pPr>
        <w:spacing w:line="360" w:lineRule="auto"/>
        <w:jc w:val="both"/>
        <w:rPr>
          <w:rFonts w:ascii="Arial" w:hAnsi="Arial" w:cs="Arial"/>
        </w:rPr>
      </w:pPr>
    </w:p>
    <w:p w14:paraId="38D94275" w14:textId="77777777" w:rsidR="0021586A" w:rsidRPr="00D90253" w:rsidRDefault="0021586A" w:rsidP="00500D9B">
      <w:pPr>
        <w:spacing w:line="360" w:lineRule="auto"/>
        <w:jc w:val="both"/>
        <w:rPr>
          <w:rFonts w:ascii="Arial" w:hAnsi="Arial" w:cs="Arial"/>
        </w:rPr>
      </w:pPr>
    </w:p>
    <w:p w14:paraId="0D2596D4" w14:textId="34F62A2D" w:rsidR="00D90253" w:rsidRPr="00D90253" w:rsidRDefault="00D90253" w:rsidP="00665142">
      <w:pPr>
        <w:pStyle w:val="Listenabsatz"/>
        <w:numPr>
          <w:ilvl w:val="0"/>
          <w:numId w:val="23"/>
        </w:numPr>
        <w:spacing w:line="360" w:lineRule="auto"/>
        <w:rPr>
          <w:rFonts w:ascii="Arial" w:hAnsi="Arial" w:cs="Arial"/>
          <w:b/>
          <w:bCs/>
        </w:rPr>
      </w:pPr>
      <w:r w:rsidRPr="00D90253">
        <w:rPr>
          <w:rFonts w:ascii="Arial" w:hAnsi="Arial" w:cs="Arial"/>
          <w:b/>
          <w:bCs/>
        </w:rPr>
        <w:lastRenderedPageBreak/>
        <w:t>Gegenstand der Leistung</w:t>
      </w:r>
    </w:p>
    <w:p w14:paraId="409ABA25" w14:textId="3C778987" w:rsidR="007B40FF" w:rsidRPr="00D90253" w:rsidRDefault="00D90253" w:rsidP="00500D9B">
      <w:p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Gegenstand dieses Auftrags ist die inhaltlich-didaktische Konzeption sowie die technische Umsetzung der folgenden beiden Qualifizierungsmodule:</w:t>
      </w:r>
    </w:p>
    <w:p w14:paraId="7C4D7832" w14:textId="77777777" w:rsidR="00D90253" w:rsidRPr="00D90253" w:rsidRDefault="00D90253" w:rsidP="00500D9B">
      <w:p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Modul 3: „</w:t>
      </w:r>
      <w:proofErr w:type="spellStart"/>
      <w:r w:rsidRPr="00D90253">
        <w:rPr>
          <w:rFonts w:ascii="Arial" w:hAnsi="Arial" w:cs="Arial"/>
        </w:rPr>
        <w:t>Circular</w:t>
      </w:r>
      <w:proofErr w:type="spellEnd"/>
      <w:r w:rsidRPr="00D90253">
        <w:rPr>
          <w:rFonts w:ascii="Arial" w:hAnsi="Arial" w:cs="Arial"/>
        </w:rPr>
        <w:t xml:space="preserve"> Engineering“</w:t>
      </w:r>
    </w:p>
    <w:p w14:paraId="4DBA70C2" w14:textId="69F2DD77" w:rsidR="00D90253" w:rsidRPr="00D90253" w:rsidRDefault="00D90253" w:rsidP="00500D9B">
      <w:pPr>
        <w:pStyle w:val="Listenabsatz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Schwerpunkt auf der technischen Implementierung zirkulärer Prinzipien, insbesondere in den Bereichen Ökodesign, Materialwissenschaften, Recyclingtechnologien sowie KI-gestützte Prozessoptimierung.</w:t>
      </w:r>
    </w:p>
    <w:p w14:paraId="0484A3BD" w14:textId="77777777" w:rsidR="00D90253" w:rsidRPr="00D90253" w:rsidRDefault="00D90253" w:rsidP="00500D9B">
      <w:p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Modul 4: „</w:t>
      </w:r>
      <w:proofErr w:type="spellStart"/>
      <w:r w:rsidRPr="00D90253">
        <w:rPr>
          <w:rFonts w:ascii="Arial" w:hAnsi="Arial" w:cs="Arial"/>
        </w:rPr>
        <w:t>Circular</w:t>
      </w:r>
      <w:proofErr w:type="spellEnd"/>
      <w:r w:rsidRPr="00D90253">
        <w:rPr>
          <w:rFonts w:ascii="Arial" w:hAnsi="Arial" w:cs="Arial"/>
        </w:rPr>
        <w:t xml:space="preserve"> Analytics“</w:t>
      </w:r>
    </w:p>
    <w:p w14:paraId="5A2A2B47" w14:textId="6FE61CFC" w:rsidR="00F70188" w:rsidRDefault="00D90253" w:rsidP="00500D9B">
      <w:pPr>
        <w:pStyle w:val="Listenabsatz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Schwerpunkt auf der datenbasierten Analyse zirkulärer Systeme, einschließlich Lebenszyklusanalysen (LCA), Lebenszykluskostenanalysen (LCC) sowie Nachhaltigkeitsberichterstattung nach dem VSME-Standard.</w:t>
      </w:r>
    </w:p>
    <w:p w14:paraId="62505A7D" w14:textId="77777777" w:rsidR="00D90253" w:rsidRPr="00D90253" w:rsidRDefault="00D90253" w:rsidP="00500D9B">
      <w:pPr>
        <w:pStyle w:val="Listenabsatz"/>
        <w:spacing w:line="360" w:lineRule="auto"/>
        <w:jc w:val="both"/>
        <w:rPr>
          <w:rFonts w:ascii="Arial" w:hAnsi="Arial" w:cs="Arial"/>
        </w:rPr>
      </w:pPr>
    </w:p>
    <w:p w14:paraId="5F3DACF6" w14:textId="536C7D53" w:rsidR="00F70188" w:rsidRPr="00D90253" w:rsidRDefault="00F70188" w:rsidP="00665142">
      <w:pPr>
        <w:pStyle w:val="Listenabsatz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D90253">
        <w:rPr>
          <w:rFonts w:ascii="Arial" w:hAnsi="Arial" w:cs="Arial"/>
          <w:b/>
          <w:bCs/>
        </w:rPr>
        <w:t xml:space="preserve">Detaillierte Leistungsbeschreibung </w:t>
      </w:r>
      <w:r w:rsidR="00D90253">
        <w:rPr>
          <w:rFonts w:ascii="Arial" w:hAnsi="Arial" w:cs="Arial"/>
          <w:b/>
          <w:bCs/>
        </w:rPr>
        <w:t>und</w:t>
      </w:r>
      <w:r w:rsidRPr="00D90253">
        <w:rPr>
          <w:rFonts w:ascii="Arial" w:hAnsi="Arial" w:cs="Arial"/>
          <w:b/>
          <w:bCs/>
        </w:rPr>
        <w:t xml:space="preserve"> Mindestanforderungen</w:t>
      </w:r>
    </w:p>
    <w:p w14:paraId="5C2142CA" w14:textId="0D087CAC" w:rsidR="00F70188" w:rsidRPr="00F70188" w:rsidRDefault="00D90253" w:rsidP="00500D9B">
      <w:p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Der Auftragnehmer hat ein schlüssiges Gesamtkonzept vorzulegen, das mindestens die nachfolgenden Leistungsbereiche abdeckt:</w:t>
      </w:r>
    </w:p>
    <w:p w14:paraId="003D7D2F" w14:textId="7042A168" w:rsidR="00D90253" w:rsidRPr="00D90253" w:rsidRDefault="00D90253" w:rsidP="00500D9B">
      <w:pPr>
        <w:pStyle w:val="Listenabsatz"/>
        <w:spacing w:line="360" w:lineRule="auto"/>
        <w:ind w:left="0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A. Inhaltliche und didaktische Konzeption</w:t>
      </w:r>
    </w:p>
    <w:p w14:paraId="43E9F653" w14:textId="77777777" w:rsidR="00D90253" w:rsidRDefault="00D90253" w:rsidP="00500D9B">
      <w:pPr>
        <w:pStyle w:val="Listenabsatz"/>
        <w:numPr>
          <w:ilvl w:val="0"/>
          <w:numId w:val="16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Entwicklung zielgruppenspezifischer Lehr- und Lerninhalte, die auf die Anforderungen der produzierenden Industrie, insbesondere der Verpackungsbranche, zugeschnitten sind.</w:t>
      </w:r>
    </w:p>
    <w:p w14:paraId="758D592F" w14:textId="59198AAD" w:rsidR="00D90253" w:rsidRPr="00D90253" w:rsidRDefault="00D90253" w:rsidP="00500D9B">
      <w:pPr>
        <w:pStyle w:val="Listenabsatz"/>
        <w:numPr>
          <w:ilvl w:val="0"/>
          <w:numId w:val="16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Konzeption praxisorientierter Lerninhalte zu:</w:t>
      </w:r>
    </w:p>
    <w:p w14:paraId="4AA36765" w14:textId="77777777" w:rsidR="00D90253" w:rsidRPr="00D90253" w:rsidRDefault="00D90253" w:rsidP="00500D9B">
      <w:pPr>
        <w:pStyle w:val="Listenabsatz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Ressourcenmanagement</w:t>
      </w:r>
    </w:p>
    <w:p w14:paraId="79C26953" w14:textId="77777777" w:rsidR="00D90253" w:rsidRPr="00D90253" w:rsidRDefault="00D90253" w:rsidP="00500D9B">
      <w:pPr>
        <w:pStyle w:val="Listenabsatz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Steuerung und Nutzung von Nachhaltigkeitsdaten</w:t>
      </w:r>
    </w:p>
    <w:p w14:paraId="324F9AFA" w14:textId="77777777" w:rsidR="00D90253" w:rsidRPr="00D90253" w:rsidRDefault="00D90253" w:rsidP="00500D9B">
      <w:pPr>
        <w:pStyle w:val="Listenabsatz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Intelligenten Produktionsprozessen</w:t>
      </w:r>
    </w:p>
    <w:p w14:paraId="32F92C2F" w14:textId="77777777" w:rsidR="00D90253" w:rsidRPr="00D90253" w:rsidRDefault="00D90253" w:rsidP="00500D9B">
      <w:pPr>
        <w:pStyle w:val="Listenabsatz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Ökodesign-Ansätzen</w:t>
      </w:r>
    </w:p>
    <w:p w14:paraId="1C20C5DE" w14:textId="77777777" w:rsidR="00D90253" w:rsidRPr="00D90253" w:rsidRDefault="00D90253" w:rsidP="00500D9B">
      <w:pPr>
        <w:pStyle w:val="Listenabsatz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Digitalem Produktpass</w:t>
      </w:r>
    </w:p>
    <w:p w14:paraId="3053915E" w14:textId="77777777" w:rsidR="00D90253" w:rsidRPr="00D90253" w:rsidRDefault="00D90253" w:rsidP="00500D9B">
      <w:pPr>
        <w:pStyle w:val="Listenabsatz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Lebenszyklusanalysen (LCA)</w:t>
      </w:r>
    </w:p>
    <w:p w14:paraId="6D08D75A" w14:textId="77777777" w:rsidR="00D90253" w:rsidRDefault="00D90253" w:rsidP="00500D9B">
      <w:pPr>
        <w:pStyle w:val="Listenabsatz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Nachhaltigkeitsberichterstattung</w:t>
      </w:r>
    </w:p>
    <w:p w14:paraId="44C956F9" w14:textId="073A8F49" w:rsidR="00D90253" w:rsidRPr="00D90253" w:rsidRDefault="00D90253" w:rsidP="00500D9B">
      <w:pPr>
        <w:pStyle w:val="Listenabsatz"/>
        <w:numPr>
          <w:ilvl w:val="0"/>
          <w:numId w:val="16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Integration wissenschaftlich fundierter Modelle und Methoden zur Messung und Bewertung zirkulärer Performance.</w:t>
      </w:r>
    </w:p>
    <w:p w14:paraId="3DCFAC6A" w14:textId="27DE9E6A" w:rsidR="00D90253" w:rsidRPr="00D90253" w:rsidRDefault="00D90253" w:rsidP="00500D9B">
      <w:pPr>
        <w:pStyle w:val="Listenabsatz"/>
        <w:numPr>
          <w:ilvl w:val="0"/>
          <w:numId w:val="16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User-</w:t>
      </w:r>
      <w:proofErr w:type="spellStart"/>
      <w:r w:rsidRPr="00D90253">
        <w:rPr>
          <w:rFonts w:ascii="Arial" w:hAnsi="Arial" w:cs="Arial"/>
        </w:rPr>
        <w:t>generated</w:t>
      </w:r>
      <w:proofErr w:type="spellEnd"/>
      <w:r w:rsidRPr="00D90253">
        <w:rPr>
          <w:rFonts w:ascii="Arial" w:hAnsi="Arial" w:cs="Arial"/>
        </w:rPr>
        <w:t xml:space="preserve"> Content (UGC):</w:t>
      </w:r>
      <w:r>
        <w:rPr>
          <w:rFonts w:ascii="Arial" w:hAnsi="Arial" w:cs="Arial"/>
        </w:rPr>
        <w:t xml:space="preserve"> </w:t>
      </w:r>
      <w:r w:rsidRPr="00D90253">
        <w:rPr>
          <w:rFonts w:ascii="Arial" w:hAnsi="Arial" w:cs="Arial"/>
        </w:rPr>
        <w:t>Bereitstellung einer Funktionalität, die es Teilnehmenden ermöglicht, eigene Inhalte (z. B. Best Practices) zu erstellen und zu teilen, unter Berücksichtigung von Data-</w:t>
      </w:r>
      <w:proofErr w:type="spellStart"/>
      <w:r w:rsidRPr="00D90253">
        <w:rPr>
          <w:rFonts w:ascii="Arial" w:hAnsi="Arial" w:cs="Arial"/>
        </w:rPr>
        <w:t>Governance</w:t>
      </w:r>
      <w:proofErr w:type="spellEnd"/>
      <w:r w:rsidRPr="00D90253">
        <w:rPr>
          <w:rFonts w:ascii="Arial" w:hAnsi="Arial" w:cs="Arial"/>
        </w:rPr>
        <w:t>-Anforderungen und Qualitätssicherungsmechanismen.</w:t>
      </w:r>
    </w:p>
    <w:p w14:paraId="63162769" w14:textId="77777777" w:rsidR="00D90253" w:rsidRPr="00D90253" w:rsidRDefault="00D90253" w:rsidP="00500D9B">
      <w:pPr>
        <w:pStyle w:val="Listenabsatz"/>
        <w:numPr>
          <w:ilvl w:val="0"/>
          <w:numId w:val="16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 xml:space="preserve">Erprobung und Umsetzung der entwickelten Module einschließlich der Durchführung von </w:t>
      </w:r>
      <w:proofErr w:type="spellStart"/>
      <w:r w:rsidRPr="00D90253">
        <w:rPr>
          <w:rFonts w:ascii="Arial" w:hAnsi="Arial" w:cs="Arial"/>
        </w:rPr>
        <w:t>Multiplikator:innenschulungen</w:t>
      </w:r>
      <w:proofErr w:type="spellEnd"/>
      <w:r w:rsidRPr="00D90253">
        <w:rPr>
          <w:rFonts w:ascii="Arial" w:hAnsi="Arial" w:cs="Arial"/>
        </w:rPr>
        <w:t xml:space="preserve"> für die eigenen Module.</w:t>
      </w:r>
    </w:p>
    <w:p w14:paraId="63F2DD3B" w14:textId="77777777" w:rsidR="00D90253" w:rsidRPr="00D90253" w:rsidRDefault="00D90253" w:rsidP="00500D9B">
      <w:pPr>
        <w:pStyle w:val="Listenabsatz"/>
        <w:numPr>
          <w:ilvl w:val="0"/>
          <w:numId w:val="16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lastRenderedPageBreak/>
        <w:t>Mitwirkung an der Konzeption und Umsetzung eines übergreifenden Wissenstransferkonzepts für alle Projektmodule.</w:t>
      </w:r>
    </w:p>
    <w:p w14:paraId="771E0476" w14:textId="77777777" w:rsidR="00D90253" w:rsidRPr="00D90253" w:rsidRDefault="00D90253" w:rsidP="00500D9B">
      <w:pPr>
        <w:pStyle w:val="Listenabsatz"/>
        <w:numPr>
          <w:ilvl w:val="0"/>
          <w:numId w:val="16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Mitarbeit an der wissenschaftlichen Begleitforschung, insbesondere:</w:t>
      </w:r>
    </w:p>
    <w:p w14:paraId="559E0F83" w14:textId="77777777" w:rsidR="00D90253" w:rsidRPr="00D90253" w:rsidRDefault="00D90253" w:rsidP="00500D9B">
      <w:pPr>
        <w:pStyle w:val="Listenabsatz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Beantwortung der projektbezogenen Forschungsfragen</w:t>
      </w:r>
    </w:p>
    <w:p w14:paraId="2BC5FD1E" w14:textId="77777777" w:rsidR="00D90253" w:rsidRPr="00D90253" w:rsidRDefault="00D90253" w:rsidP="00500D9B">
      <w:pPr>
        <w:pStyle w:val="Listenabsatz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Ableitung von Erkenntnissen aus der Evaluation der eigenen Module</w:t>
      </w:r>
    </w:p>
    <w:p w14:paraId="658C2A48" w14:textId="77777777" w:rsidR="00D90253" w:rsidRPr="00D90253" w:rsidRDefault="00D90253" w:rsidP="00500D9B">
      <w:pPr>
        <w:pStyle w:val="Listenabsatz"/>
        <w:numPr>
          <w:ilvl w:val="0"/>
          <w:numId w:val="16"/>
        </w:num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Mitwirkung an wissenschaftlichen Publikationen, einschließlich eines projektbezogenen Handbuchs</w:t>
      </w:r>
    </w:p>
    <w:p w14:paraId="5259A7CD" w14:textId="2A3B7046" w:rsidR="0054374C" w:rsidRPr="00D90253" w:rsidRDefault="00D90253" w:rsidP="00500D9B">
      <w:pPr>
        <w:pStyle w:val="Listenabsatz"/>
        <w:numPr>
          <w:ilvl w:val="0"/>
          <w:numId w:val="16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Wünschenswert ist die aktive Verbreitung der Projektergebnisse über eigene Netzwerke.</w:t>
      </w:r>
    </w:p>
    <w:p w14:paraId="2341C20C" w14:textId="0D155600" w:rsidR="00F70188" w:rsidRPr="00F70188" w:rsidRDefault="00F70188" w:rsidP="00500D9B">
      <w:pPr>
        <w:spacing w:line="360" w:lineRule="auto"/>
        <w:jc w:val="both"/>
        <w:rPr>
          <w:rFonts w:ascii="Arial" w:hAnsi="Arial" w:cs="Arial"/>
        </w:rPr>
      </w:pPr>
      <w:r w:rsidRPr="00F70188">
        <w:rPr>
          <w:rFonts w:ascii="Arial" w:hAnsi="Arial" w:cs="Arial"/>
        </w:rPr>
        <w:t>B. Technische Umsetzung:</w:t>
      </w:r>
    </w:p>
    <w:p w14:paraId="0534EFB7" w14:textId="77777777" w:rsidR="00D90253" w:rsidRDefault="00D90253" w:rsidP="00500D9B">
      <w:pPr>
        <w:pStyle w:val="Listenabsatz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D90253">
        <w:rPr>
          <w:rFonts w:ascii="Arial" w:hAnsi="Arial" w:cs="Arial"/>
        </w:rPr>
        <w:t>Microlearning</w:t>
      </w:r>
      <w:proofErr w:type="spellEnd"/>
      <w:r w:rsidRPr="00D90253">
        <w:rPr>
          <w:rFonts w:ascii="Arial" w:hAnsi="Arial" w:cs="Arial"/>
        </w:rPr>
        <w:t>-Plattform: Umsetzung der Inhalte in modularen, granularen Lerneinheiten („Learning Nuggets“), die orts- und zeitunabhängig sowie mobil abrufbar sind.</w:t>
      </w:r>
    </w:p>
    <w:p w14:paraId="1A5BC0EC" w14:textId="58B59E66" w:rsidR="00D90253" w:rsidRDefault="00D90253" w:rsidP="00500D9B">
      <w:pPr>
        <w:pStyle w:val="Listenabsatz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Multimodale Lernformate:</w:t>
      </w:r>
      <w:r>
        <w:rPr>
          <w:rFonts w:ascii="Arial" w:hAnsi="Arial" w:cs="Arial"/>
        </w:rPr>
        <w:t xml:space="preserve"> </w:t>
      </w:r>
      <w:r w:rsidRPr="00D90253">
        <w:rPr>
          <w:rFonts w:ascii="Arial" w:hAnsi="Arial" w:cs="Arial"/>
        </w:rPr>
        <w:t>Erstellung digitaler Lerninhalte in Form von Erklärvideos, Animationen und interaktiven Tutorials.</w:t>
      </w:r>
    </w:p>
    <w:p w14:paraId="6BDA7760" w14:textId="77777777" w:rsidR="00D90253" w:rsidRDefault="00D90253" w:rsidP="00500D9B">
      <w:pPr>
        <w:pStyle w:val="Listenabsatz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KI-gestützte Elemente:</w:t>
      </w:r>
      <w:r>
        <w:rPr>
          <w:rFonts w:ascii="Arial" w:hAnsi="Arial" w:cs="Arial"/>
        </w:rPr>
        <w:t xml:space="preserve"> </w:t>
      </w:r>
      <w:r w:rsidRPr="00D90253">
        <w:rPr>
          <w:rFonts w:ascii="Arial" w:hAnsi="Arial" w:cs="Arial"/>
        </w:rPr>
        <w:t xml:space="preserve">Entwicklung von Ideen und Konzepten für den Einsatz eines </w:t>
      </w:r>
      <w:proofErr w:type="spellStart"/>
      <w:r w:rsidRPr="00D90253">
        <w:rPr>
          <w:rFonts w:ascii="Arial" w:hAnsi="Arial" w:cs="Arial"/>
        </w:rPr>
        <w:t>Conversational</w:t>
      </w:r>
      <w:proofErr w:type="spellEnd"/>
      <w:r w:rsidRPr="00D90253">
        <w:rPr>
          <w:rFonts w:ascii="Arial" w:hAnsi="Arial" w:cs="Arial"/>
        </w:rPr>
        <w:t xml:space="preserve"> </w:t>
      </w:r>
      <w:proofErr w:type="spellStart"/>
      <w:r w:rsidRPr="00D90253">
        <w:rPr>
          <w:rFonts w:ascii="Arial" w:hAnsi="Arial" w:cs="Arial"/>
        </w:rPr>
        <w:t>Agents</w:t>
      </w:r>
      <w:proofErr w:type="spellEnd"/>
      <w:r w:rsidRPr="00D90253">
        <w:rPr>
          <w:rFonts w:ascii="Arial" w:hAnsi="Arial" w:cs="Arial"/>
        </w:rPr>
        <w:t xml:space="preserve"> (z. B. Chatbot), der Lernende interaktiv unterstützt und individualisierte Lernpfade ermöglicht.</w:t>
      </w:r>
    </w:p>
    <w:p w14:paraId="43066E4F" w14:textId="44DF88A7" w:rsidR="00D90253" w:rsidRPr="00D90253" w:rsidRDefault="00D90253" w:rsidP="00500D9B">
      <w:pPr>
        <w:pStyle w:val="Listenabsatz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Mehrsprachigkeit und Inklusion</w:t>
      </w:r>
      <w:r>
        <w:rPr>
          <w:rFonts w:ascii="Arial" w:hAnsi="Arial" w:cs="Arial"/>
        </w:rPr>
        <w:t xml:space="preserve">: </w:t>
      </w:r>
      <w:r w:rsidRPr="00D90253">
        <w:rPr>
          <w:rFonts w:ascii="Arial" w:hAnsi="Arial" w:cs="Arial"/>
        </w:rPr>
        <w:t>Bereitstellung eines digitalen Handbuchs sowie sämtlicher Lerninhalte in:</w:t>
      </w:r>
    </w:p>
    <w:p w14:paraId="68C29A53" w14:textId="77777777" w:rsidR="00D90253" w:rsidRPr="00D90253" w:rsidRDefault="00D90253" w:rsidP="00500D9B">
      <w:pPr>
        <w:pStyle w:val="Listenabsatz"/>
        <w:numPr>
          <w:ilvl w:val="1"/>
          <w:numId w:val="28"/>
        </w:num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deutscher Sprache</w:t>
      </w:r>
    </w:p>
    <w:p w14:paraId="0CA742E3" w14:textId="77777777" w:rsidR="00D90253" w:rsidRPr="00D90253" w:rsidRDefault="00D90253" w:rsidP="00500D9B">
      <w:pPr>
        <w:pStyle w:val="Listenabsatz"/>
        <w:numPr>
          <w:ilvl w:val="1"/>
          <w:numId w:val="28"/>
        </w:num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englischer Sprache</w:t>
      </w:r>
    </w:p>
    <w:p w14:paraId="360479D6" w14:textId="1F690B79" w:rsidR="00D90253" w:rsidRDefault="00B4217E" w:rsidP="00500D9B">
      <w:pPr>
        <w:pStyle w:val="Listenabsatz"/>
        <w:numPr>
          <w:ilvl w:val="1"/>
          <w:numId w:val="2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90253" w:rsidRPr="00D90253">
        <w:rPr>
          <w:rFonts w:ascii="Arial" w:hAnsi="Arial" w:cs="Arial"/>
        </w:rPr>
        <w:t>infacher Sprache</w:t>
      </w:r>
    </w:p>
    <w:p w14:paraId="4616AA37" w14:textId="6439C1DA" w:rsidR="00D90253" w:rsidRPr="00D90253" w:rsidRDefault="00D90253" w:rsidP="00500D9B">
      <w:pPr>
        <w:pStyle w:val="Listenabsatz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Barrierefreiheit:</w:t>
      </w:r>
      <w:r>
        <w:rPr>
          <w:rFonts w:ascii="Arial" w:hAnsi="Arial" w:cs="Arial"/>
        </w:rPr>
        <w:t xml:space="preserve"> </w:t>
      </w:r>
      <w:r w:rsidRPr="00D90253">
        <w:rPr>
          <w:rFonts w:ascii="Arial" w:hAnsi="Arial" w:cs="Arial"/>
        </w:rPr>
        <w:t>Umsetzung der Inhalte gemäß den geltenden WCAG-Standards, insbesondere durch:</w:t>
      </w:r>
    </w:p>
    <w:p w14:paraId="6E8CE103" w14:textId="77777777" w:rsidR="00D90253" w:rsidRPr="00D90253" w:rsidRDefault="00D90253" w:rsidP="00500D9B">
      <w:pPr>
        <w:pStyle w:val="Listenabsatz"/>
        <w:numPr>
          <w:ilvl w:val="1"/>
          <w:numId w:val="29"/>
        </w:num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Untertitel</w:t>
      </w:r>
    </w:p>
    <w:p w14:paraId="2DA1128C" w14:textId="77777777" w:rsidR="00D90253" w:rsidRPr="00D90253" w:rsidRDefault="00D90253" w:rsidP="00500D9B">
      <w:pPr>
        <w:pStyle w:val="Listenabsatz"/>
        <w:numPr>
          <w:ilvl w:val="1"/>
          <w:numId w:val="29"/>
        </w:num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alternative Bildbeschreibungen</w:t>
      </w:r>
    </w:p>
    <w:p w14:paraId="1751526A" w14:textId="77777777" w:rsidR="00D90253" w:rsidRDefault="00D90253" w:rsidP="00500D9B">
      <w:pPr>
        <w:pStyle w:val="Listenabsatz"/>
        <w:numPr>
          <w:ilvl w:val="1"/>
          <w:numId w:val="29"/>
        </w:num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anpassbare Schriftgrößen</w:t>
      </w:r>
    </w:p>
    <w:p w14:paraId="622A9BEA" w14:textId="77777777" w:rsidR="00A57AD3" w:rsidRPr="00A57AD3" w:rsidRDefault="00A57AD3" w:rsidP="00500D9B">
      <w:pPr>
        <w:spacing w:line="360" w:lineRule="auto"/>
        <w:jc w:val="both"/>
        <w:rPr>
          <w:rFonts w:ascii="Arial" w:hAnsi="Arial" w:cs="Arial"/>
        </w:rPr>
      </w:pPr>
    </w:p>
    <w:p w14:paraId="4CCDB8D0" w14:textId="1D6EDD63" w:rsidR="00F70188" w:rsidRPr="00A57AD3" w:rsidRDefault="00F70188" w:rsidP="00500D9B">
      <w:pPr>
        <w:pStyle w:val="Listenabsatz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/>
          <w:bCs/>
        </w:rPr>
      </w:pPr>
      <w:r w:rsidRPr="0054374C">
        <w:rPr>
          <w:rFonts w:ascii="Arial" w:hAnsi="Arial" w:cs="Arial"/>
          <w:b/>
          <w:bCs/>
        </w:rPr>
        <w:t>Technische Rahmenbedingungen</w:t>
      </w:r>
    </w:p>
    <w:p w14:paraId="14A7FC33" w14:textId="32BAA590" w:rsidR="00D90253" w:rsidRPr="00D90253" w:rsidRDefault="00D90253" w:rsidP="00665142">
      <w:pPr>
        <w:pStyle w:val="Listenabsatz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D90253">
        <w:rPr>
          <w:rFonts w:ascii="Arial" w:hAnsi="Arial" w:cs="Arial"/>
          <w:b/>
          <w:bCs/>
        </w:rPr>
        <w:t>Hosting und Integration:</w:t>
      </w:r>
      <w:r w:rsidRPr="00D90253">
        <w:rPr>
          <w:rFonts w:ascii="Arial" w:hAnsi="Arial" w:cs="Arial"/>
        </w:rPr>
        <w:br/>
        <w:t xml:space="preserve">Die </w:t>
      </w:r>
      <w:r w:rsidR="00D81378">
        <w:rPr>
          <w:rFonts w:ascii="Arial" w:hAnsi="Arial" w:cs="Arial"/>
        </w:rPr>
        <w:t>Lernmodule</w:t>
      </w:r>
      <w:r w:rsidRPr="00D90253">
        <w:rPr>
          <w:rFonts w:ascii="Arial" w:hAnsi="Arial" w:cs="Arial"/>
        </w:rPr>
        <w:t xml:space="preserve"> ist webbasiert umzusetzen und soll nach Möglichkeit in bestehende digitale Infrastrukturen (z. B. BAUM-Akademie) integrierbar sein.</w:t>
      </w:r>
    </w:p>
    <w:p w14:paraId="0B82EECC" w14:textId="072871DF" w:rsidR="00D90253" w:rsidRDefault="00D90253" w:rsidP="00665142">
      <w:pPr>
        <w:pStyle w:val="Listenabsatz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D90253">
        <w:rPr>
          <w:rFonts w:ascii="Arial" w:hAnsi="Arial" w:cs="Arial"/>
          <w:b/>
          <w:bCs/>
        </w:rPr>
        <w:t>Datenschutz und Regulierung:</w:t>
      </w:r>
      <w:r w:rsidRPr="00D90253">
        <w:rPr>
          <w:rFonts w:ascii="Arial" w:hAnsi="Arial" w:cs="Arial"/>
        </w:rPr>
        <w:br/>
        <w:t>Die Anforderungen der DSGVO sowie des EU AI Acts und des Data Acts sind vollumfänglich zu berücksichtigen, insbesondere im Umgang mit sensiblen Unternehmens- und Nutzungsdaten.</w:t>
      </w:r>
    </w:p>
    <w:p w14:paraId="3045CB10" w14:textId="53EBE553" w:rsidR="005251AB" w:rsidRPr="005251AB" w:rsidRDefault="005251AB" w:rsidP="00500D9B">
      <w:pPr>
        <w:pStyle w:val="Listenabsatz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Ort der Leistungserbringung</w:t>
      </w:r>
    </w:p>
    <w:p w14:paraId="1127D8CF" w14:textId="755E6D7C" w:rsidR="00F70188" w:rsidRDefault="005251AB" w:rsidP="00500D9B">
      <w:pPr>
        <w:pStyle w:val="Listenabsatz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Die Erstellung und Bereitstellung der Inhalte können digital erfolgen. Die Multiplikatoren-Schulungen können gegeben falls auch örtlich gebunden im Gebiet der Bundesrepublik Deutschland erfolgen. </w:t>
      </w:r>
    </w:p>
    <w:p w14:paraId="543EF688" w14:textId="77777777" w:rsidR="00A57AD3" w:rsidRPr="00A57AD3" w:rsidRDefault="00A57AD3" w:rsidP="00500D9B">
      <w:pPr>
        <w:spacing w:line="360" w:lineRule="auto"/>
        <w:jc w:val="both"/>
        <w:rPr>
          <w:rFonts w:ascii="Arial" w:hAnsi="Arial" w:cs="Arial"/>
        </w:rPr>
      </w:pPr>
    </w:p>
    <w:p w14:paraId="6201AF1A" w14:textId="63B39E88" w:rsidR="00F70188" w:rsidRPr="00D90253" w:rsidRDefault="00F70188" w:rsidP="00665142">
      <w:pPr>
        <w:pStyle w:val="Listenabsatz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D90253">
        <w:rPr>
          <w:rFonts w:ascii="Arial" w:hAnsi="Arial" w:cs="Arial"/>
          <w:b/>
          <w:bCs/>
        </w:rPr>
        <w:t>Zeitplan und Meilensteine</w:t>
      </w:r>
    </w:p>
    <w:p w14:paraId="75A7574D" w14:textId="67D37D1F" w:rsidR="00F70188" w:rsidRPr="00F70188" w:rsidRDefault="00F70188" w:rsidP="00500D9B">
      <w:pPr>
        <w:spacing w:line="360" w:lineRule="auto"/>
        <w:jc w:val="both"/>
        <w:rPr>
          <w:rFonts w:ascii="Arial" w:hAnsi="Arial" w:cs="Arial"/>
        </w:rPr>
      </w:pPr>
      <w:r w:rsidRPr="00F70188">
        <w:rPr>
          <w:rFonts w:ascii="Arial" w:hAnsi="Arial" w:cs="Arial"/>
        </w:rPr>
        <w:t xml:space="preserve">Das Projekt CIRCULATE läuft vom 01.12.2025 bis zum 30.11.2028. </w:t>
      </w:r>
      <w:r w:rsidR="00CD0E7A">
        <w:rPr>
          <w:rFonts w:ascii="Arial" w:hAnsi="Arial" w:cs="Arial"/>
        </w:rPr>
        <w:t xml:space="preserve">Der Unterauftrag soll nicht später als </w:t>
      </w:r>
      <w:r w:rsidR="00565D28">
        <w:rPr>
          <w:rFonts w:ascii="Arial" w:hAnsi="Arial" w:cs="Arial"/>
        </w:rPr>
        <w:t>April</w:t>
      </w:r>
      <w:r w:rsidR="00CD0E7A">
        <w:rPr>
          <w:rFonts w:ascii="Arial" w:hAnsi="Arial" w:cs="Arial"/>
        </w:rPr>
        <w:t xml:space="preserve"> 2026 starten. </w:t>
      </w:r>
      <w:r w:rsidRPr="00F70188">
        <w:rPr>
          <w:rFonts w:ascii="Arial" w:hAnsi="Arial" w:cs="Arial"/>
        </w:rPr>
        <w:t>Für den Unterauftrag werden folgende Meilensteine (orientiert am Gesamtprojekt) erwartet:</w:t>
      </w:r>
    </w:p>
    <w:p w14:paraId="2FCD2387" w14:textId="1B76623F" w:rsidR="00F70188" w:rsidRDefault="00F70188" w:rsidP="00500D9B">
      <w:pPr>
        <w:pStyle w:val="Listenabsatz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54374C">
        <w:rPr>
          <w:rFonts w:ascii="Arial" w:hAnsi="Arial" w:cs="Arial"/>
        </w:rPr>
        <w:t>Konzeptionsphase:</w:t>
      </w:r>
      <w:r w:rsidR="008E288B">
        <w:rPr>
          <w:rFonts w:ascii="Arial" w:hAnsi="Arial" w:cs="Arial"/>
        </w:rPr>
        <w:t xml:space="preserve"> Feinplanung der Module und</w:t>
      </w:r>
      <w:r w:rsidRPr="0054374C">
        <w:rPr>
          <w:rFonts w:ascii="Arial" w:hAnsi="Arial" w:cs="Arial"/>
        </w:rPr>
        <w:t xml:space="preserve"> </w:t>
      </w:r>
      <w:r w:rsidR="007E6541">
        <w:rPr>
          <w:rFonts w:ascii="Arial" w:hAnsi="Arial" w:cs="Arial"/>
        </w:rPr>
        <w:t>Digitalisierung der Lerninhalte bis zum</w:t>
      </w:r>
      <w:r w:rsidRPr="0054374C">
        <w:rPr>
          <w:rFonts w:ascii="Arial" w:hAnsi="Arial" w:cs="Arial"/>
        </w:rPr>
        <w:t xml:space="preserve"> </w:t>
      </w:r>
      <w:r w:rsidR="004C108B">
        <w:rPr>
          <w:rFonts w:ascii="Arial" w:hAnsi="Arial" w:cs="Arial"/>
        </w:rPr>
        <w:t>31.07.2026</w:t>
      </w:r>
      <w:r w:rsidRPr="0054374C">
        <w:rPr>
          <w:rFonts w:ascii="Arial" w:hAnsi="Arial" w:cs="Arial"/>
        </w:rPr>
        <w:t>.</w:t>
      </w:r>
    </w:p>
    <w:p w14:paraId="3612D41D" w14:textId="167B849F" w:rsidR="004C108B" w:rsidRDefault="004C108B" w:rsidP="00500D9B">
      <w:pPr>
        <w:pStyle w:val="Listenabsatz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Pilotierungsphase der Workshops: ab dem 01.10.2026</w:t>
      </w:r>
      <w:r w:rsidR="00640DFF">
        <w:rPr>
          <w:rFonts w:ascii="Arial" w:hAnsi="Arial" w:cs="Arial"/>
        </w:rPr>
        <w:t xml:space="preserve"> bis zum 31.12.2026</w:t>
      </w:r>
      <w:r>
        <w:rPr>
          <w:rFonts w:ascii="Arial" w:hAnsi="Arial" w:cs="Arial"/>
        </w:rPr>
        <w:t>.</w:t>
      </w:r>
    </w:p>
    <w:p w14:paraId="4AA3CC7B" w14:textId="479430E4" w:rsidR="00D04FA8" w:rsidRDefault="00D04FA8" w:rsidP="00500D9B">
      <w:pPr>
        <w:pStyle w:val="Listenabsatz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Durchführung</w:t>
      </w:r>
      <w:r w:rsidR="008E288B">
        <w:rPr>
          <w:rFonts w:ascii="Arial" w:hAnsi="Arial" w:cs="Arial"/>
        </w:rPr>
        <w:t>sphase</w:t>
      </w:r>
      <w:r>
        <w:rPr>
          <w:rFonts w:ascii="Arial" w:hAnsi="Arial" w:cs="Arial"/>
        </w:rPr>
        <w:t xml:space="preserve"> der </w:t>
      </w:r>
      <w:proofErr w:type="spellStart"/>
      <w:r>
        <w:rPr>
          <w:rFonts w:ascii="Arial" w:hAnsi="Arial" w:cs="Arial"/>
        </w:rPr>
        <w:t>Multiplikator:innenschulungen</w:t>
      </w:r>
      <w:proofErr w:type="spellEnd"/>
      <w:r w:rsidR="008E288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ab 01.01.2027</w:t>
      </w:r>
      <w:r w:rsidR="00640DFF">
        <w:rPr>
          <w:rFonts w:ascii="Arial" w:hAnsi="Arial" w:cs="Arial"/>
        </w:rPr>
        <w:t xml:space="preserve"> bis zum 31.12.2027</w:t>
      </w:r>
      <w:r>
        <w:rPr>
          <w:rFonts w:ascii="Arial" w:hAnsi="Arial" w:cs="Arial"/>
        </w:rPr>
        <w:t>.</w:t>
      </w:r>
    </w:p>
    <w:p w14:paraId="219CFC82" w14:textId="1B247B7D" w:rsidR="00D04FA8" w:rsidRPr="0054374C" w:rsidRDefault="00D04FA8" w:rsidP="00500D9B">
      <w:pPr>
        <w:pStyle w:val="Listenabsatz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Begleitung der </w:t>
      </w:r>
      <w:proofErr w:type="spellStart"/>
      <w:r>
        <w:rPr>
          <w:rFonts w:ascii="Arial" w:hAnsi="Arial" w:cs="Arial"/>
        </w:rPr>
        <w:t>Multiplikator:innenschulungen</w:t>
      </w:r>
      <w:proofErr w:type="spellEnd"/>
      <w:r w:rsidR="008E288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ab 01.04.2027</w:t>
      </w:r>
      <w:r w:rsidR="00640DFF">
        <w:rPr>
          <w:rFonts w:ascii="Arial" w:hAnsi="Arial" w:cs="Arial"/>
        </w:rPr>
        <w:t xml:space="preserve"> bis zum 31.12.2027</w:t>
      </w:r>
      <w:r>
        <w:rPr>
          <w:rFonts w:ascii="Arial" w:hAnsi="Arial" w:cs="Arial"/>
        </w:rPr>
        <w:t>.</w:t>
      </w:r>
    </w:p>
    <w:p w14:paraId="1EB063F5" w14:textId="7FAE5B65" w:rsidR="0054374C" w:rsidRDefault="008E288B" w:rsidP="00500D9B">
      <w:pPr>
        <w:pStyle w:val="Listenabsatz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Disseminationsphase</w:t>
      </w:r>
      <w:r w:rsidR="00F70188" w:rsidRPr="00002E20">
        <w:rPr>
          <w:rFonts w:ascii="Arial" w:hAnsi="Arial" w:cs="Arial"/>
        </w:rPr>
        <w:t>: Vollständige Bereitstellung der Module 3 und 4 zur breiten Dissemination</w:t>
      </w:r>
      <w:r w:rsidR="00E82FAF">
        <w:rPr>
          <w:rFonts w:ascii="Arial" w:hAnsi="Arial" w:cs="Arial"/>
        </w:rPr>
        <w:t xml:space="preserve"> ab dem 01.01.2028</w:t>
      </w:r>
      <w:r w:rsidR="00002E20">
        <w:rPr>
          <w:rFonts w:ascii="Arial" w:hAnsi="Arial" w:cs="Arial"/>
        </w:rPr>
        <w:t xml:space="preserve"> bis zum 30.06.2028</w:t>
      </w:r>
      <w:r w:rsidR="0043059F">
        <w:rPr>
          <w:rFonts w:ascii="Arial" w:hAnsi="Arial" w:cs="Arial"/>
        </w:rPr>
        <w:t>.</w:t>
      </w:r>
    </w:p>
    <w:p w14:paraId="703AA040" w14:textId="77777777" w:rsidR="00E82FAF" w:rsidRPr="00002E20" w:rsidRDefault="00E82FAF" w:rsidP="00500D9B">
      <w:pPr>
        <w:pStyle w:val="Listenabsatz"/>
        <w:spacing w:line="360" w:lineRule="auto"/>
        <w:jc w:val="both"/>
        <w:rPr>
          <w:rFonts w:ascii="Arial" w:hAnsi="Arial" w:cs="Arial"/>
        </w:rPr>
      </w:pPr>
    </w:p>
    <w:p w14:paraId="6FFB5E8A" w14:textId="0A2488E8" w:rsidR="00F70188" w:rsidRPr="00D90253" w:rsidRDefault="00F70188" w:rsidP="00500D9B">
      <w:pPr>
        <w:pStyle w:val="Listenabsatz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  <w:b/>
          <w:bCs/>
        </w:rPr>
        <w:t>Preisgestaltung &amp; Budget</w:t>
      </w:r>
    </w:p>
    <w:p w14:paraId="1966D6A9" w14:textId="6935D88C" w:rsidR="00F70188" w:rsidRPr="004C108B" w:rsidRDefault="00F70188" w:rsidP="00500D9B">
      <w:pPr>
        <w:pStyle w:val="Listenabsatz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4C108B">
        <w:rPr>
          <w:rFonts w:ascii="Arial" w:hAnsi="Arial" w:cs="Arial"/>
        </w:rPr>
        <w:t xml:space="preserve">Für die Vergabe dieser Leistungen ist im Projekt ein Budget von insgesamt </w:t>
      </w:r>
      <w:r w:rsidR="007C295E">
        <w:rPr>
          <w:rFonts w:ascii="Arial" w:hAnsi="Arial" w:cs="Arial"/>
        </w:rPr>
        <w:t>125</w:t>
      </w:r>
      <w:r w:rsidR="001E36ED">
        <w:rPr>
          <w:rFonts w:ascii="Arial" w:hAnsi="Arial" w:cs="Arial"/>
        </w:rPr>
        <w:t>.</w:t>
      </w:r>
      <w:r w:rsidR="007C295E">
        <w:rPr>
          <w:rFonts w:ascii="Arial" w:hAnsi="Arial" w:cs="Arial"/>
        </w:rPr>
        <w:t>0</w:t>
      </w:r>
      <w:r w:rsidR="001E36ED">
        <w:rPr>
          <w:rFonts w:ascii="Arial" w:hAnsi="Arial" w:cs="Arial"/>
        </w:rPr>
        <w:t>00,00</w:t>
      </w:r>
      <w:r w:rsidRPr="004C108B">
        <w:rPr>
          <w:rFonts w:ascii="Arial" w:hAnsi="Arial" w:cs="Arial"/>
        </w:rPr>
        <w:t xml:space="preserve"> € (</w:t>
      </w:r>
      <w:r w:rsidR="007C295E">
        <w:rPr>
          <w:rFonts w:ascii="Arial" w:hAnsi="Arial" w:cs="Arial"/>
        </w:rPr>
        <w:t>netto</w:t>
      </w:r>
      <w:r w:rsidRPr="004C108B">
        <w:rPr>
          <w:rFonts w:ascii="Arial" w:hAnsi="Arial" w:cs="Arial"/>
        </w:rPr>
        <w:t>) vorgesehen.</w:t>
      </w:r>
    </w:p>
    <w:p w14:paraId="1945D50F" w14:textId="22DCB240" w:rsidR="00F70188" w:rsidRDefault="00F70188" w:rsidP="00500D9B">
      <w:pPr>
        <w:pStyle w:val="Listenabsatz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4C108B">
        <w:rPr>
          <w:rFonts w:ascii="Arial" w:hAnsi="Arial" w:cs="Arial"/>
        </w:rPr>
        <w:t>Angebote müssen einen Gesamtfestpreis sowie eine detaillierte Aufschlüsselung der Personenstunden und Tagessätze</w:t>
      </w:r>
      <w:r w:rsidR="0059518C">
        <w:rPr>
          <w:rFonts w:ascii="Arial" w:hAnsi="Arial" w:cs="Arial"/>
        </w:rPr>
        <w:t xml:space="preserve"> pro Meilenstein</w:t>
      </w:r>
      <w:r w:rsidRPr="004C108B">
        <w:rPr>
          <w:rFonts w:ascii="Arial" w:hAnsi="Arial" w:cs="Arial"/>
        </w:rPr>
        <w:t xml:space="preserve"> enthalten</w:t>
      </w:r>
    </w:p>
    <w:p w14:paraId="7830136E" w14:textId="7E4427DE" w:rsidR="0059518C" w:rsidRPr="004C108B" w:rsidRDefault="0059518C" w:rsidP="00500D9B">
      <w:pPr>
        <w:pStyle w:val="Listenabsatz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Zahlung erfolgt jeweils nach Abschluss eines Meilensteines. </w:t>
      </w:r>
    </w:p>
    <w:p w14:paraId="1DDB76EE" w14:textId="77777777" w:rsidR="00E30FA1" w:rsidRPr="00E30FA1" w:rsidRDefault="00E30FA1" w:rsidP="00500D9B">
      <w:pPr>
        <w:pStyle w:val="Listenabsatz"/>
        <w:spacing w:line="360" w:lineRule="auto"/>
        <w:ind w:left="372"/>
        <w:jc w:val="both"/>
        <w:rPr>
          <w:rFonts w:ascii="Arial" w:hAnsi="Arial" w:cs="Arial"/>
        </w:rPr>
      </w:pPr>
    </w:p>
    <w:p w14:paraId="59FFB842" w14:textId="3889E9CF" w:rsidR="00F70188" w:rsidRPr="00D90253" w:rsidRDefault="00F70188" w:rsidP="00500D9B">
      <w:pPr>
        <w:pStyle w:val="Listenabsatz"/>
        <w:numPr>
          <w:ilvl w:val="0"/>
          <w:numId w:val="23"/>
        </w:num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  <w:b/>
          <w:bCs/>
        </w:rPr>
        <w:t>Eignungs- und Zuschlagskriterien</w:t>
      </w:r>
    </w:p>
    <w:p w14:paraId="57D2CE89" w14:textId="140B7F14" w:rsidR="00D90253" w:rsidRPr="00D90253" w:rsidRDefault="00D747F9" w:rsidP="00500D9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D90253" w:rsidRPr="00D90253">
        <w:rPr>
          <w:rFonts w:ascii="Arial" w:hAnsi="Arial" w:cs="Arial"/>
          <w:b/>
          <w:bCs/>
        </w:rPr>
        <w:t>.1 Eignungskriterien</w:t>
      </w:r>
    </w:p>
    <w:p w14:paraId="4D4A428C" w14:textId="77777777" w:rsidR="00D90253" w:rsidRPr="00D90253" w:rsidRDefault="00D90253" w:rsidP="00500D9B">
      <w:pPr>
        <w:numPr>
          <w:ilvl w:val="0"/>
          <w:numId w:val="30"/>
        </w:numPr>
        <w:tabs>
          <w:tab w:val="num" w:pos="720"/>
        </w:tabs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 xml:space="preserve">Nachweisliche Erfahrung in der Konzeption und Umsetzung digitaler Bildungsformate (E-Learning, </w:t>
      </w:r>
      <w:proofErr w:type="spellStart"/>
      <w:r w:rsidRPr="00D90253">
        <w:rPr>
          <w:rFonts w:ascii="Arial" w:hAnsi="Arial" w:cs="Arial"/>
        </w:rPr>
        <w:t>Microlearning</w:t>
      </w:r>
      <w:proofErr w:type="spellEnd"/>
      <w:r w:rsidRPr="00D90253">
        <w:rPr>
          <w:rFonts w:ascii="Arial" w:hAnsi="Arial" w:cs="Arial"/>
        </w:rPr>
        <w:t>).</w:t>
      </w:r>
    </w:p>
    <w:p w14:paraId="34E7DA77" w14:textId="77777777" w:rsidR="00D90253" w:rsidRPr="00D90253" w:rsidRDefault="00D90253" w:rsidP="00500D9B">
      <w:pPr>
        <w:numPr>
          <w:ilvl w:val="0"/>
          <w:numId w:val="30"/>
        </w:numPr>
        <w:tabs>
          <w:tab w:val="num" w:pos="720"/>
        </w:tabs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Fachliche Eignung und Expertise im Bereich Nachhaltigkeit, idealerweise Kreislaufwirtschaft, sowie in den thematischen Schwerpunkten der Module 3 und 4.</w:t>
      </w:r>
      <w:r w:rsidRPr="00D90253">
        <w:rPr>
          <w:rFonts w:ascii="Arial" w:hAnsi="Arial" w:cs="Arial"/>
        </w:rPr>
        <w:br/>
        <w:t>Es sind mindestens zwei einschlägige Referenzprojekte zu benennen, die innerhalb der letzten 15 Jahre umgesetzt wurden.</w:t>
      </w:r>
    </w:p>
    <w:p w14:paraId="3DB4C665" w14:textId="77777777" w:rsidR="00D90253" w:rsidRPr="00D90253" w:rsidRDefault="00D90253" w:rsidP="00500D9B">
      <w:pPr>
        <w:numPr>
          <w:ilvl w:val="0"/>
          <w:numId w:val="30"/>
        </w:numPr>
        <w:tabs>
          <w:tab w:val="num" w:pos="720"/>
        </w:tabs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 xml:space="preserve">Nachweisliche Erfahrung im Einsatz von KI-Anwendungen, insbesondere im Bereich </w:t>
      </w:r>
      <w:proofErr w:type="spellStart"/>
      <w:r w:rsidRPr="00D90253">
        <w:rPr>
          <w:rFonts w:ascii="Arial" w:hAnsi="Arial" w:cs="Arial"/>
        </w:rPr>
        <w:t>Conversational</w:t>
      </w:r>
      <w:proofErr w:type="spellEnd"/>
      <w:r w:rsidRPr="00D90253">
        <w:rPr>
          <w:rFonts w:ascii="Arial" w:hAnsi="Arial" w:cs="Arial"/>
        </w:rPr>
        <w:t xml:space="preserve"> </w:t>
      </w:r>
      <w:proofErr w:type="spellStart"/>
      <w:r w:rsidRPr="00D90253">
        <w:rPr>
          <w:rFonts w:ascii="Arial" w:hAnsi="Arial" w:cs="Arial"/>
        </w:rPr>
        <w:t>Agents</w:t>
      </w:r>
      <w:proofErr w:type="spellEnd"/>
      <w:r w:rsidRPr="00D90253">
        <w:rPr>
          <w:rFonts w:ascii="Arial" w:hAnsi="Arial" w:cs="Arial"/>
        </w:rPr>
        <w:t xml:space="preserve"> oder Chatbots.</w:t>
      </w:r>
    </w:p>
    <w:p w14:paraId="4F56D54F" w14:textId="417CAFE4" w:rsidR="00D90253" w:rsidRPr="00D90253" w:rsidRDefault="00D747F9" w:rsidP="00500D9B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8</w:t>
      </w:r>
      <w:r w:rsidR="00D90253" w:rsidRPr="00D90253">
        <w:rPr>
          <w:rFonts w:ascii="Arial" w:hAnsi="Arial" w:cs="Arial"/>
          <w:b/>
          <w:bCs/>
        </w:rPr>
        <w:t>.2 Zuschlagskriterien</w:t>
      </w:r>
    </w:p>
    <w:p w14:paraId="514225C5" w14:textId="77777777" w:rsidR="00D90253" w:rsidRPr="00D90253" w:rsidRDefault="00D90253" w:rsidP="00500D9B">
      <w:pPr>
        <w:spacing w:line="360" w:lineRule="auto"/>
        <w:jc w:val="both"/>
        <w:rPr>
          <w:rFonts w:ascii="Arial" w:hAnsi="Arial" w:cs="Arial"/>
        </w:rPr>
      </w:pPr>
      <w:r w:rsidRPr="00D90253">
        <w:rPr>
          <w:rFonts w:ascii="Arial" w:hAnsi="Arial" w:cs="Arial"/>
        </w:rPr>
        <w:t>Die Zuschlagserteilung erfolgt auf Basis der folgenden gewichteten Kriterien:</w:t>
      </w:r>
    </w:p>
    <w:p w14:paraId="71AFC9E2" w14:textId="77777777" w:rsidR="00D90253" w:rsidRPr="00D90253" w:rsidRDefault="00D90253" w:rsidP="00500D9B">
      <w:pPr>
        <w:numPr>
          <w:ilvl w:val="0"/>
          <w:numId w:val="31"/>
        </w:numPr>
        <w:tabs>
          <w:tab w:val="num" w:pos="720"/>
        </w:tabs>
        <w:spacing w:line="360" w:lineRule="auto"/>
        <w:rPr>
          <w:rFonts w:ascii="Arial" w:hAnsi="Arial" w:cs="Arial"/>
        </w:rPr>
      </w:pPr>
      <w:r w:rsidRPr="00D90253">
        <w:rPr>
          <w:rFonts w:ascii="Arial" w:hAnsi="Arial" w:cs="Arial"/>
        </w:rPr>
        <w:t>Konzeptqualität (45 %)</w:t>
      </w:r>
      <w:r w:rsidRPr="00D90253">
        <w:rPr>
          <w:rFonts w:ascii="Arial" w:hAnsi="Arial" w:cs="Arial"/>
        </w:rPr>
        <w:br/>
        <w:t>Innovationsgrad der didaktischen und technischen Lösung, Berücksichtigung der Inklusionsziele, Problem- und Aufgabenverständnis sowie methodisches Vorgehen.</w:t>
      </w:r>
    </w:p>
    <w:p w14:paraId="7FE0E2B3" w14:textId="77777777" w:rsidR="00D90253" w:rsidRPr="00D90253" w:rsidRDefault="00D90253" w:rsidP="00500D9B">
      <w:pPr>
        <w:numPr>
          <w:ilvl w:val="0"/>
          <w:numId w:val="31"/>
        </w:numPr>
        <w:tabs>
          <w:tab w:val="num" w:pos="720"/>
        </w:tabs>
        <w:spacing w:line="360" w:lineRule="auto"/>
        <w:rPr>
          <w:rFonts w:ascii="Arial" w:hAnsi="Arial" w:cs="Arial"/>
        </w:rPr>
      </w:pPr>
      <w:r w:rsidRPr="00D90253">
        <w:rPr>
          <w:rFonts w:ascii="Arial" w:hAnsi="Arial" w:cs="Arial"/>
        </w:rPr>
        <w:t>Arbeits- und Zeitplanung (20 %)</w:t>
      </w:r>
      <w:r w:rsidRPr="00D90253">
        <w:rPr>
          <w:rFonts w:ascii="Arial" w:hAnsi="Arial" w:cs="Arial"/>
        </w:rPr>
        <w:br/>
        <w:t>Plausibilität des Zeitplans, Personaleinsatz sowie Qualifikation des eingesetzten Personals.</w:t>
      </w:r>
    </w:p>
    <w:p w14:paraId="7165FA1D" w14:textId="77777777" w:rsidR="00D90253" w:rsidRDefault="00D90253" w:rsidP="00500D9B">
      <w:pPr>
        <w:numPr>
          <w:ilvl w:val="0"/>
          <w:numId w:val="31"/>
        </w:numPr>
        <w:tabs>
          <w:tab w:val="num" w:pos="720"/>
        </w:tabs>
        <w:spacing w:line="360" w:lineRule="auto"/>
        <w:rPr>
          <w:rFonts w:ascii="Arial" w:hAnsi="Arial" w:cs="Arial"/>
        </w:rPr>
      </w:pPr>
      <w:r w:rsidRPr="00D90253">
        <w:rPr>
          <w:rFonts w:ascii="Arial" w:hAnsi="Arial" w:cs="Arial"/>
        </w:rPr>
        <w:t>Preis (35 %)</w:t>
      </w:r>
      <w:r w:rsidRPr="00D90253">
        <w:rPr>
          <w:rFonts w:ascii="Arial" w:hAnsi="Arial" w:cs="Arial"/>
        </w:rPr>
        <w:br/>
        <w:t>Wirtschaftlichkeit und Angemessenheit des Angebots.</w:t>
      </w:r>
    </w:p>
    <w:p w14:paraId="5803461B" w14:textId="048E9DDF" w:rsidR="00D2459B" w:rsidRDefault="00D2459B" w:rsidP="00500D9B">
      <w:pPr>
        <w:tabs>
          <w:tab w:val="num" w:pos="720"/>
        </w:tabs>
        <w:spacing w:line="360" w:lineRule="auto"/>
        <w:jc w:val="both"/>
        <w:rPr>
          <w:rFonts w:ascii="Arial" w:hAnsi="Arial" w:cs="Arial"/>
        </w:rPr>
      </w:pPr>
      <w:r w:rsidRPr="00D2459B">
        <w:rPr>
          <w:rFonts w:ascii="Arial" w:hAnsi="Arial" w:cs="Arial"/>
        </w:rPr>
        <w:t>Die Bewertung der Zuschlagskriterien erfolgt nach</w:t>
      </w:r>
      <w:r w:rsidR="00BA5075">
        <w:rPr>
          <w:rFonts w:ascii="Arial" w:hAnsi="Arial" w:cs="Arial"/>
        </w:rPr>
        <w:t xml:space="preserve"> </w:t>
      </w:r>
      <w:r w:rsidRPr="00D2459B">
        <w:rPr>
          <w:rFonts w:ascii="Arial" w:hAnsi="Arial" w:cs="Arial"/>
        </w:rPr>
        <w:t>folgenden Bewertungsparametern mit</w:t>
      </w:r>
      <w:r>
        <w:rPr>
          <w:rFonts w:ascii="Arial" w:hAnsi="Arial" w:cs="Arial"/>
        </w:rPr>
        <w:t xml:space="preserve"> </w:t>
      </w:r>
      <w:r w:rsidRPr="00D2459B">
        <w:rPr>
          <w:rFonts w:ascii="Arial" w:hAnsi="Arial" w:cs="Arial"/>
        </w:rPr>
        <w:t>Bezug zum Auftragsgegenstand.</w:t>
      </w:r>
    </w:p>
    <w:p w14:paraId="129D01BD" w14:textId="241AF47D" w:rsidR="00BE3ADE" w:rsidRDefault="00523A1B" w:rsidP="00500D9B">
      <w:pPr>
        <w:tabs>
          <w:tab w:val="num" w:pos="720"/>
        </w:tabs>
        <w:spacing w:line="360" w:lineRule="auto"/>
        <w:jc w:val="both"/>
        <w:rPr>
          <w:rFonts w:ascii="Arial" w:hAnsi="Arial" w:cs="Arial"/>
        </w:rPr>
      </w:pPr>
      <w:r w:rsidRPr="00523A1B">
        <w:rPr>
          <w:rFonts w:ascii="Arial" w:hAnsi="Arial" w:cs="Arial"/>
        </w:rPr>
        <w:t>Den Zuschlag erhält das Angebot, das die höchste Gesamtpunktzahl, die sich aus der</w:t>
      </w:r>
      <w:r>
        <w:rPr>
          <w:rFonts w:ascii="Arial" w:hAnsi="Arial" w:cs="Arial"/>
        </w:rPr>
        <w:t xml:space="preserve"> </w:t>
      </w:r>
      <w:r w:rsidRPr="00523A1B">
        <w:rPr>
          <w:rFonts w:ascii="Arial" w:hAnsi="Arial" w:cs="Arial"/>
        </w:rPr>
        <w:t>Summe der gewichteten Punkte je Zuschlagskriterium ergibt, erreicht hat.</w:t>
      </w:r>
      <w:r w:rsidR="00BA5075">
        <w:rPr>
          <w:rFonts w:ascii="Arial" w:hAnsi="Arial" w:cs="Arial"/>
        </w:rPr>
        <w:t xml:space="preserve"> </w:t>
      </w:r>
      <w:r w:rsidR="00BE3ADE" w:rsidRPr="00BE3ADE">
        <w:rPr>
          <w:rFonts w:ascii="Arial" w:hAnsi="Arial" w:cs="Arial"/>
        </w:rPr>
        <w:t>Aus der Menge der wertungsfähigen Angebote, d.h. alle Angebote, die nicht aus formalen</w:t>
      </w:r>
      <w:r w:rsidR="00BE3ADE">
        <w:rPr>
          <w:rFonts w:ascii="Arial" w:hAnsi="Arial" w:cs="Arial"/>
        </w:rPr>
        <w:t xml:space="preserve"> </w:t>
      </w:r>
      <w:r w:rsidR="00BE3ADE" w:rsidRPr="00BE3ADE">
        <w:rPr>
          <w:rFonts w:ascii="Arial" w:hAnsi="Arial" w:cs="Arial"/>
        </w:rPr>
        <w:t>Gründen, nicht aus Gründen der fehlenden Unternehmenseignung und nicht aus Gründen</w:t>
      </w:r>
      <w:r w:rsidR="00BE3ADE">
        <w:rPr>
          <w:rFonts w:ascii="Arial" w:hAnsi="Arial" w:cs="Arial"/>
        </w:rPr>
        <w:t xml:space="preserve"> </w:t>
      </w:r>
      <w:r w:rsidR="00BE3ADE" w:rsidRPr="00BE3ADE">
        <w:rPr>
          <w:rFonts w:ascii="Arial" w:hAnsi="Arial" w:cs="Arial"/>
        </w:rPr>
        <w:t>eines im Verhältnis zur Leistung unangemessenen niedrigen Preises ausgeschlossen</w:t>
      </w:r>
      <w:r w:rsidR="00BE3ADE">
        <w:rPr>
          <w:rFonts w:ascii="Arial" w:hAnsi="Arial" w:cs="Arial"/>
        </w:rPr>
        <w:t xml:space="preserve"> </w:t>
      </w:r>
      <w:r w:rsidR="00BE3ADE" w:rsidRPr="00BE3ADE">
        <w:rPr>
          <w:rFonts w:ascii="Arial" w:hAnsi="Arial" w:cs="Arial"/>
        </w:rPr>
        <w:t>wurden, wird der niedrigste Angebotspreis bestimmt. Dieser so bestimmt</w:t>
      </w:r>
      <w:r w:rsidR="00BE3ADE">
        <w:rPr>
          <w:rFonts w:ascii="Arial" w:hAnsi="Arial" w:cs="Arial"/>
        </w:rPr>
        <w:t xml:space="preserve"> </w:t>
      </w:r>
      <w:r w:rsidR="00BE3ADE" w:rsidRPr="00BE3ADE">
        <w:rPr>
          <w:rFonts w:ascii="Arial" w:hAnsi="Arial" w:cs="Arial"/>
        </w:rPr>
        <w:t>niedrigste Angebotspreis erhält die volle Punktzahl.</w:t>
      </w:r>
      <w:r w:rsidR="00BE3ADE">
        <w:rPr>
          <w:rFonts w:ascii="Arial" w:hAnsi="Arial" w:cs="Arial"/>
        </w:rPr>
        <w:t xml:space="preserve"> </w:t>
      </w:r>
      <w:r w:rsidR="00BE3ADE" w:rsidRPr="00BE3ADE">
        <w:rPr>
          <w:rFonts w:ascii="Arial" w:hAnsi="Arial" w:cs="Arial"/>
        </w:rPr>
        <w:t>Ein fiktiver doppelt so teurer Angebotspreis/Lieferzeit erhält null Punkte. Die Preise/die</w:t>
      </w:r>
      <w:r w:rsidR="00BE3ADE">
        <w:rPr>
          <w:rFonts w:ascii="Arial" w:hAnsi="Arial" w:cs="Arial"/>
        </w:rPr>
        <w:t xml:space="preserve"> </w:t>
      </w:r>
      <w:r w:rsidR="00BE3ADE" w:rsidRPr="00BE3ADE">
        <w:rPr>
          <w:rFonts w:ascii="Arial" w:hAnsi="Arial" w:cs="Arial"/>
        </w:rPr>
        <w:t>Lieferzeit der dazwischenliegenden Angebote werden mittels einer linearen Interpolation</w:t>
      </w:r>
      <w:r w:rsidR="00BE3ADE">
        <w:rPr>
          <w:rFonts w:ascii="Arial" w:hAnsi="Arial" w:cs="Arial"/>
        </w:rPr>
        <w:t xml:space="preserve"> </w:t>
      </w:r>
      <w:r w:rsidR="00BE3ADE" w:rsidRPr="00BE3ADE">
        <w:rPr>
          <w:rFonts w:ascii="Arial" w:hAnsi="Arial" w:cs="Arial"/>
        </w:rPr>
        <w:t>bewertet und in Punkte umgewandelt</w:t>
      </w:r>
      <w:r w:rsidR="000651CB">
        <w:rPr>
          <w:rFonts w:ascii="Arial" w:hAnsi="Arial" w:cs="Arial"/>
        </w:rPr>
        <w:t>.</w:t>
      </w:r>
    </w:p>
    <w:p w14:paraId="7E9B9EEA" w14:textId="46AC6CB1" w:rsidR="00F70188" w:rsidRPr="00CD0E7A" w:rsidRDefault="000651CB" w:rsidP="00130B47">
      <w:pPr>
        <w:tabs>
          <w:tab w:val="num" w:pos="720"/>
        </w:tabs>
        <w:spacing w:line="360" w:lineRule="auto"/>
        <w:jc w:val="both"/>
        <w:rPr>
          <w:rFonts w:ascii="Arial" w:hAnsi="Arial" w:cs="Arial"/>
        </w:rPr>
      </w:pPr>
      <w:r w:rsidRPr="000651CB">
        <w:rPr>
          <w:rFonts w:ascii="Arial" w:hAnsi="Arial" w:cs="Arial"/>
        </w:rPr>
        <w:t>Die Angebote werden bei jedem nichtmetrischen Zuschlagskriterium anhand einer</w:t>
      </w:r>
      <w:r>
        <w:rPr>
          <w:rFonts w:ascii="Arial" w:hAnsi="Arial" w:cs="Arial"/>
        </w:rPr>
        <w:t xml:space="preserve"> </w:t>
      </w:r>
      <w:r w:rsidRPr="000651CB">
        <w:rPr>
          <w:rFonts w:ascii="Arial" w:hAnsi="Arial" w:cs="Arial"/>
        </w:rPr>
        <w:t>Punkteskala von 0 bis 100 Punkte bewertet. Dabei erhält das Angebot mit der unter</w:t>
      </w:r>
      <w:r>
        <w:rPr>
          <w:rFonts w:ascii="Arial" w:hAnsi="Arial" w:cs="Arial"/>
        </w:rPr>
        <w:t xml:space="preserve"> </w:t>
      </w:r>
      <w:r w:rsidRPr="000651CB">
        <w:rPr>
          <w:rFonts w:ascii="Arial" w:hAnsi="Arial" w:cs="Arial"/>
        </w:rPr>
        <w:t>Abwägung aller Vor- und Nachteile relativ besten Lösung die Höchstpunktzahl 100. Die</w:t>
      </w:r>
      <w:r>
        <w:rPr>
          <w:rFonts w:ascii="Arial" w:hAnsi="Arial" w:cs="Arial"/>
        </w:rPr>
        <w:t xml:space="preserve"> </w:t>
      </w:r>
      <w:r w:rsidRPr="000651CB">
        <w:rPr>
          <w:rFonts w:ascii="Arial" w:hAnsi="Arial" w:cs="Arial"/>
        </w:rPr>
        <w:t>Punktzahl der anderen Angebote wird in Abhängigkeit der Unterschiede/Nachteile</w:t>
      </w:r>
      <w:r>
        <w:rPr>
          <w:rFonts w:ascii="Arial" w:hAnsi="Arial" w:cs="Arial"/>
        </w:rPr>
        <w:t xml:space="preserve"> </w:t>
      </w:r>
      <w:r w:rsidRPr="000651CB">
        <w:rPr>
          <w:rFonts w:ascii="Arial" w:hAnsi="Arial" w:cs="Arial"/>
        </w:rPr>
        <w:t>gegenüber dem Angebot mit der relativ besten Lösung bestimmt.</w:t>
      </w:r>
    </w:p>
    <w:sectPr w:rsidR="00F70188" w:rsidRPr="00CD0E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269A"/>
    <w:multiLevelType w:val="multilevel"/>
    <w:tmpl w:val="195C29A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FB7384"/>
    <w:multiLevelType w:val="hybridMultilevel"/>
    <w:tmpl w:val="9D266A60"/>
    <w:lvl w:ilvl="0" w:tplc="E99EF950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A2179"/>
    <w:multiLevelType w:val="hybridMultilevel"/>
    <w:tmpl w:val="D03643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74146"/>
    <w:multiLevelType w:val="hybridMultilevel"/>
    <w:tmpl w:val="8E70FF4E"/>
    <w:lvl w:ilvl="0" w:tplc="E99EF950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453BB"/>
    <w:multiLevelType w:val="hybridMultilevel"/>
    <w:tmpl w:val="0E8ECA6E"/>
    <w:lvl w:ilvl="0" w:tplc="E99EF950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F2089"/>
    <w:multiLevelType w:val="hybridMultilevel"/>
    <w:tmpl w:val="9A1817C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220764"/>
    <w:multiLevelType w:val="hybridMultilevel"/>
    <w:tmpl w:val="95569684"/>
    <w:lvl w:ilvl="0" w:tplc="E99EF950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E076C"/>
    <w:multiLevelType w:val="hybridMultilevel"/>
    <w:tmpl w:val="2D9AFB78"/>
    <w:lvl w:ilvl="0" w:tplc="E99EF950">
      <w:start w:val="4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723241"/>
    <w:multiLevelType w:val="hybridMultilevel"/>
    <w:tmpl w:val="3592A940"/>
    <w:lvl w:ilvl="0" w:tplc="FFFFFFFF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E99EF950">
      <w:start w:val="5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165DE3"/>
    <w:multiLevelType w:val="hybridMultilevel"/>
    <w:tmpl w:val="C4544368"/>
    <w:lvl w:ilvl="0" w:tplc="E99EF950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0A2461"/>
    <w:multiLevelType w:val="hybridMultilevel"/>
    <w:tmpl w:val="B742DE04"/>
    <w:lvl w:ilvl="0" w:tplc="E99EF950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52207"/>
    <w:multiLevelType w:val="multilevel"/>
    <w:tmpl w:val="49186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121A30"/>
    <w:multiLevelType w:val="hybridMultilevel"/>
    <w:tmpl w:val="8D0442F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0F3900"/>
    <w:multiLevelType w:val="hybridMultilevel"/>
    <w:tmpl w:val="FDA447A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E955DB"/>
    <w:multiLevelType w:val="hybridMultilevel"/>
    <w:tmpl w:val="6518C5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D042F"/>
    <w:multiLevelType w:val="hybridMultilevel"/>
    <w:tmpl w:val="5CB88F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720DF"/>
    <w:multiLevelType w:val="hybridMultilevel"/>
    <w:tmpl w:val="67FA6F3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D2498"/>
    <w:multiLevelType w:val="hybridMultilevel"/>
    <w:tmpl w:val="12FCAF04"/>
    <w:lvl w:ilvl="0" w:tplc="EE3AD52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6A5FAF"/>
    <w:multiLevelType w:val="multilevel"/>
    <w:tmpl w:val="11961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6430AF"/>
    <w:multiLevelType w:val="multilevel"/>
    <w:tmpl w:val="7AA4667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AF0B7F"/>
    <w:multiLevelType w:val="hybridMultilevel"/>
    <w:tmpl w:val="FF9EEE62"/>
    <w:lvl w:ilvl="0" w:tplc="E99EF950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794258"/>
    <w:multiLevelType w:val="hybridMultilevel"/>
    <w:tmpl w:val="D682D650"/>
    <w:lvl w:ilvl="0" w:tplc="E99EF950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95043"/>
    <w:multiLevelType w:val="hybridMultilevel"/>
    <w:tmpl w:val="9B8E0020"/>
    <w:lvl w:ilvl="0" w:tplc="E99EF950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D67A5"/>
    <w:multiLevelType w:val="hybridMultilevel"/>
    <w:tmpl w:val="E43A2A3E"/>
    <w:lvl w:ilvl="0" w:tplc="FFFFFFFF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E99EF950">
      <w:start w:val="5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127969"/>
    <w:multiLevelType w:val="hybridMultilevel"/>
    <w:tmpl w:val="B1CEB0B0"/>
    <w:lvl w:ilvl="0" w:tplc="E99EF950">
      <w:start w:val="4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6D52DB"/>
    <w:multiLevelType w:val="hybridMultilevel"/>
    <w:tmpl w:val="D4487C86"/>
    <w:lvl w:ilvl="0" w:tplc="E99EF950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5E11F7"/>
    <w:multiLevelType w:val="hybridMultilevel"/>
    <w:tmpl w:val="067E7EF4"/>
    <w:lvl w:ilvl="0" w:tplc="E99EF950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D1908"/>
    <w:multiLevelType w:val="hybridMultilevel"/>
    <w:tmpl w:val="DEA033EA"/>
    <w:lvl w:ilvl="0" w:tplc="E99EF950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783163"/>
    <w:multiLevelType w:val="hybridMultilevel"/>
    <w:tmpl w:val="CA1A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3A58DA"/>
    <w:multiLevelType w:val="hybridMultilevel"/>
    <w:tmpl w:val="9E28ED06"/>
    <w:lvl w:ilvl="0" w:tplc="BA549B62">
      <w:start w:val="1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97DA0"/>
    <w:multiLevelType w:val="hybridMultilevel"/>
    <w:tmpl w:val="AF38A696"/>
    <w:lvl w:ilvl="0" w:tplc="E99EF950">
      <w:start w:val="5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1"/>
  </w:num>
  <w:num w:numId="4">
    <w:abstractNumId w:val="9"/>
  </w:num>
  <w:num w:numId="5">
    <w:abstractNumId w:val="22"/>
  </w:num>
  <w:num w:numId="6">
    <w:abstractNumId w:val="27"/>
  </w:num>
  <w:num w:numId="7">
    <w:abstractNumId w:val="10"/>
  </w:num>
  <w:num w:numId="8">
    <w:abstractNumId w:val="25"/>
  </w:num>
  <w:num w:numId="9">
    <w:abstractNumId w:val="6"/>
  </w:num>
  <w:num w:numId="10">
    <w:abstractNumId w:val="7"/>
  </w:num>
  <w:num w:numId="11">
    <w:abstractNumId w:val="1"/>
  </w:num>
  <w:num w:numId="12">
    <w:abstractNumId w:val="24"/>
  </w:num>
  <w:num w:numId="13">
    <w:abstractNumId w:val="17"/>
  </w:num>
  <w:num w:numId="14">
    <w:abstractNumId w:val="2"/>
  </w:num>
  <w:num w:numId="15">
    <w:abstractNumId w:val="12"/>
  </w:num>
  <w:num w:numId="16">
    <w:abstractNumId w:val="3"/>
  </w:num>
  <w:num w:numId="17">
    <w:abstractNumId w:val="5"/>
  </w:num>
  <w:num w:numId="18">
    <w:abstractNumId w:val="13"/>
  </w:num>
  <w:num w:numId="19">
    <w:abstractNumId w:val="16"/>
  </w:num>
  <w:num w:numId="20">
    <w:abstractNumId w:val="28"/>
  </w:num>
  <w:num w:numId="21">
    <w:abstractNumId w:val="15"/>
  </w:num>
  <w:num w:numId="22">
    <w:abstractNumId w:val="0"/>
  </w:num>
  <w:num w:numId="23">
    <w:abstractNumId w:val="19"/>
  </w:num>
  <w:num w:numId="24">
    <w:abstractNumId w:val="20"/>
  </w:num>
  <w:num w:numId="25">
    <w:abstractNumId w:val="4"/>
  </w:num>
  <w:num w:numId="26">
    <w:abstractNumId w:val="29"/>
  </w:num>
  <w:num w:numId="27">
    <w:abstractNumId w:val="30"/>
  </w:num>
  <w:num w:numId="28">
    <w:abstractNumId w:val="8"/>
  </w:num>
  <w:num w:numId="29">
    <w:abstractNumId w:val="23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88"/>
    <w:rsid w:val="00002E20"/>
    <w:rsid w:val="000519EE"/>
    <w:rsid w:val="000651CB"/>
    <w:rsid w:val="00130B47"/>
    <w:rsid w:val="001356E9"/>
    <w:rsid w:val="001472C9"/>
    <w:rsid w:val="0017362A"/>
    <w:rsid w:val="001B7484"/>
    <w:rsid w:val="001E36ED"/>
    <w:rsid w:val="001E62B5"/>
    <w:rsid w:val="00201269"/>
    <w:rsid w:val="0021586A"/>
    <w:rsid w:val="002252BE"/>
    <w:rsid w:val="00287101"/>
    <w:rsid w:val="002A0E47"/>
    <w:rsid w:val="002C175E"/>
    <w:rsid w:val="00357726"/>
    <w:rsid w:val="003D65E4"/>
    <w:rsid w:val="004153A2"/>
    <w:rsid w:val="00420590"/>
    <w:rsid w:val="0043059F"/>
    <w:rsid w:val="004561B1"/>
    <w:rsid w:val="004B2C54"/>
    <w:rsid w:val="004B47B6"/>
    <w:rsid w:val="004C108B"/>
    <w:rsid w:val="004E551C"/>
    <w:rsid w:val="004F743A"/>
    <w:rsid w:val="00500D9B"/>
    <w:rsid w:val="00523A1B"/>
    <w:rsid w:val="005251AB"/>
    <w:rsid w:val="0054374C"/>
    <w:rsid w:val="00565D28"/>
    <w:rsid w:val="0059518C"/>
    <w:rsid w:val="00640DFF"/>
    <w:rsid w:val="00665142"/>
    <w:rsid w:val="006D0421"/>
    <w:rsid w:val="00780655"/>
    <w:rsid w:val="00781C12"/>
    <w:rsid w:val="007B40FF"/>
    <w:rsid w:val="007C295E"/>
    <w:rsid w:val="007E6541"/>
    <w:rsid w:val="00820F6B"/>
    <w:rsid w:val="00866AEE"/>
    <w:rsid w:val="008A27DD"/>
    <w:rsid w:val="008E288B"/>
    <w:rsid w:val="009C2316"/>
    <w:rsid w:val="009C2675"/>
    <w:rsid w:val="00A11726"/>
    <w:rsid w:val="00A57AD3"/>
    <w:rsid w:val="00A91143"/>
    <w:rsid w:val="00AC3175"/>
    <w:rsid w:val="00B17659"/>
    <w:rsid w:val="00B4217E"/>
    <w:rsid w:val="00B84CB0"/>
    <w:rsid w:val="00BA5075"/>
    <w:rsid w:val="00BD0C54"/>
    <w:rsid w:val="00BE3ADE"/>
    <w:rsid w:val="00C23095"/>
    <w:rsid w:val="00CD0E7A"/>
    <w:rsid w:val="00D04FA8"/>
    <w:rsid w:val="00D2459B"/>
    <w:rsid w:val="00D407EC"/>
    <w:rsid w:val="00D747F9"/>
    <w:rsid w:val="00D81378"/>
    <w:rsid w:val="00D90253"/>
    <w:rsid w:val="00DC77C1"/>
    <w:rsid w:val="00E30FA1"/>
    <w:rsid w:val="00E823E2"/>
    <w:rsid w:val="00E82FAF"/>
    <w:rsid w:val="00ED143E"/>
    <w:rsid w:val="00F054AD"/>
    <w:rsid w:val="00F060A7"/>
    <w:rsid w:val="00F70188"/>
    <w:rsid w:val="00FA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6AEA"/>
  <w15:chartTrackingRefBased/>
  <w15:docId w15:val="{1BA47220-04C5-4B7D-B229-A5E55479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70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70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701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70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701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70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70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70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70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701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70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701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7018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7018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7018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7018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7018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701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70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70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70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70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70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7018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7018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7018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701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7018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70188"/>
    <w:rPr>
      <w:b/>
      <w:bCs/>
      <w:smallCaps/>
      <w:color w:val="2F5496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55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E551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E551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55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551C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D04FA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04FA8"/>
    <w:rPr>
      <w:color w:val="605E5C"/>
      <w:shd w:val="clear" w:color="auto" w:fill="E1DFDD"/>
    </w:rPr>
  </w:style>
  <w:style w:type="paragraph" w:customStyle="1" w:styleId="p1">
    <w:name w:val="p1"/>
    <w:basedOn w:val="Standard"/>
    <w:rsid w:val="00A57AD3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1278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Fraunhofer IRB</Company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Mattick, Anh</dc:creator>
  <cp:keywords/>
  <dc:description/>
  <cp:lastModifiedBy>Kolbach, Siegmar</cp:lastModifiedBy>
  <cp:revision>7</cp:revision>
  <dcterms:created xsi:type="dcterms:W3CDTF">2026-02-18T14:16:00Z</dcterms:created>
  <dcterms:modified xsi:type="dcterms:W3CDTF">2026-02-20T12:11:00Z</dcterms:modified>
</cp:coreProperties>
</file>