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3AD76" w14:textId="77777777" w:rsidR="00B54728" w:rsidRDefault="00B54728" w:rsidP="00E9242E">
      <w:pPr>
        <w:spacing w:after="0" w:line="240" w:lineRule="auto"/>
        <w:rPr>
          <w:rFonts w:ascii="Arial" w:eastAsia="Calibri" w:hAnsi="Arial" w:cs="Arial"/>
          <w:color w:val="595959"/>
        </w:rPr>
      </w:pPr>
    </w:p>
    <w:p w14:paraId="39F25A10" w14:textId="77777777" w:rsidR="00B54728" w:rsidRDefault="00B54728" w:rsidP="00E9242E">
      <w:pPr>
        <w:spacing w:after="0" w:line="240" w:lineRule="auto"/>
        <w:rPr>
          <w:rFonts w:ascii="Arial" w:eastAsia="Calibri" w:hAnsi="Arial" w:cs="Arial"/>
          <w:color w:val="595959"/>
        </w:rPr>
      </w:pPr>
    </w:p>
    <w:p w14:paraId="2175FB9F" w14:textId="77777777" w:rsidR="00B54728" w:rsidRDefault="00F66470" w:rsidP="00E9242E">
      <w:pPr>
        <w:spacing w:after="0" w:line="240" w:lineRule="auto"/>
        <w:ind w:left="-284" w:right="-2"/>
        <w:rPr>
          <w:rFonts w:ascii="Calibri" w:eastAsia="Times New Roman" w:hAnsi="Calibri" w:cs="Calibri"/>
          <w:b/>
          <w:color w:val="3C505E"/>
          <w:sz w:val="68"/>
          <w:szCs w:val="68"/>
          <w:lang w:eastAsia="de-DE"/>
        </w:rPr>
      </w:pPr>
      <w:r>
        <w:rPr>
          <w:rFonts w:ascii="Calibri" w:eastAsia="Times New Roman" w:hAnsi="Calibri" w:cs="Calibri"/>
          <w:b/>
          <w:color w:val="3C505E"/>
          <w:sz w:val="68"/>
          <w:szCs w:val="68"/>
          <w:lang w:eastAsia="de-DE"/>
        </w:rPr>
        <w:t>Leistungsbeschreibung</w:t>
      </w:r>
    </w:p>
    <w:p w14:paraId="4642B424" w14:textId="77777777" w:rsidR="00B54728" w:rsidRDefault="00B54728" w:rsidP="00E9242E">
      <w:pPr>
        <w:spacing w:after="0" w:line="240" w:lineRule="auto"/>
        <w:ind w:left="-284" w:right="-2"/>
        <w:rPr>
          <w:rFonts w:ascii="Calibri" w:eastAsia="Times New Roman" w:hAnsi="Calibri" w:cs="Calibri"/>
          <w:b/>
          <w:color w:val="3C505E"/>
          <w:sz w:val="44"/>
          <w:szCs w:val="44"/>
          <w:lang w:eastAsia="de-DE"/>
        </w:rPr>
      </w:pPr>
    </w:p>
    <w:p w14:paraId="08059775" w14:textId="77777777" w:rsidR="00B54728" w:rsidRDefault="00F66470" w:rsidP="00E9242E">
      <w:pPr>
        <w:spacing w:after="0" w:line="240" w:lineRule="auto"/>
        <w:ind w:left="-284" w:right="-2"/>
        <w:rPr>
          <w:rFonts w:ascii="Calibri" w:eastAsia="Times New Roman" w:hAnsi="Calibri" w:cs="Calibri"/>
          <w:b/>
          <w:color w:val="3C505E"/>
          <w:sz w:val="72"/>
          <w:szCs w:val="72"/>
          <w:lang w:eastAsia="de-DE"/>
        </w:rPr>
      </w:pPr>
      <w:r>
        <w:rPr>
          <w:rFonts w:ascii="Calibri" w:eastAsia="Times New Roman" w:hAnsi="Calibri" w:cs="Calibri"/>
          <w:b/>
          <w:color w:val="3C505E"/>
          <w:sz w:val="72"/>
          <w:szCs w:val="72"/>
          <w:lang w:eastAsia="de-DE"/>
        </w:rPr>
        <w:t>Standortvernetzung</w:t>
      </w:r>
    </w:p>
    <w:p w14:paraId="599016D4" w14:textId="77777777" w:rsidR="00B54728" w:rsidRDefault="00F66470" w:rsidP="00E9242E">
      <w:pPr>
        <w:spacing w:after="0" w:line="240" w:lineRule="auto"/>
        <w:ind w:left="-284" w:right="-2"/>
        <w:rPr>
          <w:rFonts w:ascii="Calibri" w:eastAsia="Times New Roman" w:hAnsi="Calibri" w:cs="Calibri"/>
          <w:b/>
          <w:color w:val="3C505E"/>
          <w:sz w:val="44"/>
          <w:szCs w:val="44"/>
          <w:lang w:eastAsia="de-DE"/>
        </w:rPr>
      </w:pPr>
      <w:r>
        <w:rPr>
          <w:rFonts w:ascii="Calibri" w:eastAsia="Times New Roman" w:hAnsi="Calibri" w:cs="Calibri"/>
          <w:b/>
          <w:color w:val="3C505E"/>
          <w:sz w:val="44"/>
          <w:szCs w:val="44"/>
          <w:lang w:eastAsia="de-DE"/>
        </w:rPr>
        <w:t>Festnetzanschlüsse für Layer-2 Datenanbindungen</w:t>
      </w:r>
    </w:p>
    <w:p w14:paraId="07C8AD1E" w14:textId="77777777" w:rsidR="00B54728" w:rsidRDefault="00B54728" w:rsidP="00E9242E">
      <w:pPr>
        <w:spacing w:after="0" w:line="240" w:lineRule="auto"/>
        <w:ind w:left="-284"/>
        <w:rPr>
          <w:rFonts w:ascii="Calibri Light" w:eastAsia="Calibri" w:hAnsi="Calibri Light" w:cs="Calibri Light"/>
          <w:color w:val="3C505E"/>
          <w:sz w:val="32"/>
          <w:szCs w:val="32"/>
        </w:rPr>
      </w:pPr>
    </w:p>
    <w:p w14:paraId="38A6132B" w14:textId="77777777" w:rsidR="00B54728" w:rsidRDefault="00F66470" w:rsidP="00E9242E">
      <w:pPr>
        <w:spacing w:after="0" w:line="240" w:lineRule="auto"/>
        <w:ind w:left="-284"/>
        <w:rPr>
          <w:rFonts w:ascii="Calibri Light" w:eastAsia="Calibri" w:hAnsi="Calibri Light" w:cs="Calibri Light"/>
          <w:color w:val="3C505E"/>
          <w:sz w:val="32"/>
          <w:szCs w:val="32"/>
        </w:rPr>
      </w:pPr>
      <w:r>
        <w:rPr>
          <w:rFonts w:ascii="Calibri Light" w:eastAsia="Calibri" w:hAnsi="Calibri Light" w:cs="Calibri Light"/>
          <w:color w:val="3C505E"/>
          <w:sz w:val="32"/>
          <w:szCs w:val="32"/>
        </w:rPr>
        <w:t xml:space="preserve">Anforderungen an die neue Standortvernetzung des Kreises Warendorf </w:t>
      </w:r>
    </w:p>
    <w:p w14:paraId="563A2619" w14:textId="77777777" w:rsidR="00B54728" w:rsidRDefault="00F66470" w:rsidP="00E9242E">
      <w:pPr>
        <w:rPr>
          <w:rFonts w:ascii="Calibri" w:eastAsia="Calibri" w:hAnsi="Calibri" w:cs="Calibri"/>
          <w:color w:val="7F7F7F"/>
          <w:sz w:val="24"/>
          <w:szCs w:val="24"/>
        </w:rPr>
      </w:pPr>
      <w:r>
        <w:rPr>
          <w:rFonts w:ascii="Calibri" w:eastAsia="Calibri" w:hAnsi="Calibri" w:cs="Calibri"/>
          <w:color w:val="7F7F7F"/>
          <w:sz w:val="24"/>
          <w:szCs w:val="24"/>
        </w:rPr>
        <w:br w:type="page" w:clear="all"/>
      </w:r>
      <w:bookmarkStart w:id="0" w:name="_Ref113675525"/>
      <w:bookmarkEnd w:id="0"/>
    </w:p>
    <w:sdt>
      <w:sdtPr>
        <w:rPr>
          <w:rFonts w:asciiTheme="minorHAnsi" w:eastAsiaTheme="minorEastAsia" w:hAnsiTheme="minorHAnsi" w:cstheme="minorBidi"/>
          <w:b w:val="0"/>
          <w:bCs w:val="0"/>
          <w:color w:val="auto"/>
          <w:sz w:val="22"/>
          <w:szCs w:val="22"/>
          <w:lang w:eastAsia="en-US"/>
        </w:rPr>
        <w:id w:val="1062298025"/>
        <w:docPartObj>
          <w:docPartGallery w:val="Table of Contents"/>
          <w:docPartUnique/>
        </w:docPartObj>
      </w:sdtPr>
      <w:sdtEndPr/>
      <w:sdtContent>
        <w:p w14:paraId="0FD45FE2" w14:textId="77777777" w:rsidR="00B54728" w:rsidRDefault="00F66470" w:rsidP="00E9242E">
          <w:pPr>
            <w:pStyle w:val="Inhaltsverzeichnisberschrift"/>
            <w:rPr>
              <w:rFonts w:asciiTheme="minorHAnsi" w:hAnsiTheme="minorHAnsi" w:cstheme="minorHAnsi"/>
              <w:color w:val="000000" w:themeColor="text1"/>
              <w:sz w:val="32"/>
            </w:rPr>
          </w:pPr>
          <w:r>
            <w:rPr>
              <w:rFonts w:asciiTheme="minorHAnsi" w:hAnsiTheme="minorHAnsi" w:cstheme="minorHAnsi"/>
              <w:color w:val="000000" w:themeColor="text1"/>
              <w:sz w:val="32"/>
            </w:rPr>
            <w:t>Inhalt</w:t>
          </w:r>
        </w:p>
        <w:p w14:paraId="616F0990" w14:textId="77777777" w:rsidR="00B54728" w:rsidRDefault="00F66470" w:rsidP="00E9242E">
          <w:pPr>
            <w:pStyle w:val="Verzeichnis1"/>
            <w:rPr>
              <w:rFonts w:eastAsiaTheme="minorEastAsia"/>
              <w:sz w:val="24"/>
              <w:szCs w:val="24"/>
              <w:lang w:eastAsia="de-DE"/>
              <w14:ligatures w14:val="standardContextual"/>
            </w:rPr>
          </w:pPr>
          <w:r>
            <w:fldChar w:fldCharType="begin"/>
          </w:r>
          <w:r>
            <w:instrText xml:space="preserve"> TOC \o "1-3" \h \z \u </w:instrText>
          </w:r>
          <w:r>
            <w:fldChar w:fldCharType="separate"/>
          </w:r>
          <w:hyperlink w:anchor="_Toc210125631" w:tooltip="#_Toc210125631" w:history="1">
            <w:r>
              <w:rPr>
                <w:rStyle w:val="Hyperlink"/>
              </w:rPr>
              <w:t>1.</w:t>
            </w:r>
            <w:r>
              <w:rPr>
                <w:rFonts w:eastAsiaTheme="minorEastAsia"/>
                <w:sz w:val="24"/>
                <w:szCs w:val="24"/>
                <w:lang w:eastAsia="de-DE"/>
                <w14:ligatures w14:val="standardContextual"/>
              </w:rPr>
              <w:tab/>
            </w:r>
            <w:r>
              <w:rPr>
                <w:rStyle w:val="Hyperlink"/>
              </w:rPr>
              <w:t>Einleitung und Ausgangssituation</w:t>
            </w:r>
            <w:r>
              <w:tab/>
            </w:r>
            <w:r>
              <w:fldChar w:fldCharType="begin"/>
            </w:r>
            <w:r>
              <w:instrText xml:space="preserve"> PAGEREF _Toc210125631 \h </w:instrText>
            </w:r>
            <w:r>
              <w:fldChar w:fldCharType="separate"/>
            </w:r>
            <w:r>
              <w:t>4</w:t>
            </w:r>
            <w:r>
              <w:fldChar w:fldCharType="end"/>
            </w:r>
          </w:hyperlink>
        </w:p>
        <w:p w14:paraId="7BCEB672" w14:textId="77777777" w:rsidR="00B54728" w:rsidRDefault="00F66470" w:rsidP="00E9242E">
          <w:pPr>
            <w:pStyle w:val="Verzeichnis2"/>
            <w:rPr>
              <w:rFonts w:eastAsiaTheme="minorEastAsia"/>
              <w:sz w:val="24"/>
              <w:szCs w:val="24"/>
              <w:lang w:eastAsia="de-DE"/>
              <w14:ligatures w14:val="standardContextual"/>
            </w:rPr>
          </w:pPr>
          <w:hyperlink w:anchor="_Toc210125632" w:tooltip="#_Toc210125632" w:history="1">
            <w:r>
              <w:rPr>
                <w:rStyle w:val="Hyperlink"/>
              </w:rPr>
              <w:t>1.1</w:t>
            </w:r>
            <w:r>
              <w:rPr>
                <w:rFonts w:eastAsiaTheme="minorEastAsia"/>
                <w:sz w:val="24"/>
                <w:szCs w:val="24"/>
                <w:lang w:eastAsia="de-DE"/>
                <w14:ligatures w14:val="standardContextual"/>
              </w:rPr>
              <w:tab/>
            </w:r>
            <w:r>
              <w:rPr>
                <w:rStyle w:val="Hyperlink"/>
              </w:rPr>
              <w:t>Dokumentation und Dokumente</w:t>
            </w:r>
            <w:r>
              <w:tab/>
            </w:r>
            <w:r>
              <w:fldChar w:fldCharType="begin"/>
            </w:r>
            <w:r>
              <w:instrText xml:space="preserve"> PAGEREF _Toc210125632 \h </w:instrText>
            </w:r>
            <w:r>
              <w:fldChar w:fldCharType="separate"/>
            </w:r>
            <w:r>
              <w:t>5</w:t>
            </w:r>
            <w:r>
              <w:fldChar w:fldCharType="end"/>
            </w:r>
          </w:hyperlink>
        </w:p>
        <w:p w14:paraId="443A2B26" w14:textId="77777777" w:rsidR="00B54728" w:rsidRDefault="00F66470" w:rsidP="00E9242E">
          <w:pPr>
            <w:pStyle w:val="Verzeichnis2"/>
            <w:rPr>
              <w:rFonts w:eastAsiaTheme="minorEastAsia"/>
              <w:sz w:val="24"/>
              <w:szCs w:val="24"/>
              <w:lang w:eastAsia="de-DE"/>
              <w14:ligatures w14:val="standardContextual"/>
            </w:rPr>
          </w:pPr>
          <w:hyperlink w:anchor="_Toc210125633" w:tooltip="#_Toc210125633" w:history="1">
            <w:r>
              <w:rPr>
                <w:rStyle w:val="Hyperlink"/>
              </w:rPr>
              <w:t>1.2</w:t>
            </w:r>
            <w:r>
              <w:rPr>
                <w:rFonts w:eastAsiaTheme="minorEastAsia"/>
                <w:sz w:val="24"/>
                <w:szCs w:val="24"/>
                <w:lang w:eastAsia="de-DE"/>
                <w14:ligatures w14:val="standardContextual"/>
              </w:rPr>
              <w:tab/>
            </w:r>
            <w:r>
              <w:rPr>
                <w:rStyle w:val="Hyperlink"/>
              </w:rPr>
              <w:t>Projektablauf und Zeitplan</w:t>
            </w:r>
            <w:r>
              <w:tab/>
            </w:r>
            <w:r>
              <w:fldChar w:fldCharType="begin"/>
            </w:r>
            <w:r>
              <w:instrText xml:space="preserve"> PAGEREF _Toc210125633 \h </w:instrText>
            </w:r>
            <w:r>
              <w:fldChar w:fldCharType="separate"/>
            </w:r>
            <w:r>
              <w:t>5</w:t>
            </w:r>
            <w:r>
              <w:fldChar w:fldCharType="end"/>
            </w:r>
          </w:hyperlink>
        </w:p>
        <w:p w14:paraId="069634D6" w14:textId="77777777" w:rsidR="00B54728" w:rsidRDefault="00F66470" w:rsidP="00E9242E">
          <w:pPr>
            <w:pStyle w:val="Verzeichnis2"/>
            <w:rPr>
              <w:rFonts w:eastAsiaTheme="minorEastAsia"/>
              <w:sz w:val="24"/>
              <w:szCs w:val="24"/>
              <w:lang w:eastAsia="de-DE"/>
              <w14:ligatures w14:val="standardContextual"/>
            </w:rPr>
          </w:pPr>
          <w:hyperlink w:anchor="_Toc210125634" w:tooltip="#_Toc210125634" w:history="1">
            <w:r>
              <w:rPr>
                <w:rStyle w:val="Hyperlink"/>
              </w:rPr>
              <w:t>1.3</w:t>
            </w:r>
            <w:r>
              <w:rPr>
                <w:rFonts w:eastAsiaTheme="minorEastAsia"/>
                <w:sz w:val="24"/>
                <w:szCs w:val="24"/>
                <w:lang w:eastAsia="de-DE"/>
                <w14:ligatures w14:val="standardContextual"/>
              </w:rPr>
              <w:tab/>
            </w:r>
            <w:r>
              <w:rPr>
                <w:rStyle w:val="Hyperlink"/>
              </w:rPr>
              <w:t>Flexibilität beim Mengengerüst und Skalierung</w:t>
            </w:r>
            <w:r>
              <w:tab/>
            </w:r>
            <w:r>
              <w:fldChar w:fldCharType="begin"/>
            </w:r>
            <w:r>
              <w:instrText xml:space="preserve"> PAGEREF _Toc210125634 \h </w:instrText>
            </w:r>
            <w:r>
              <w:fldChar w:fldCharType="separate"/>
            </w:r>
            <w:r>
              <w:t>5</w:t>
            </w:r>
            <w:r>
              <w:fldChar w:fldCharType="end"/>
            </w:r>
          </w:hyperlink>
        </w:p>
        <w:p w14:paraId="4B75BC06" w14:textId="77777777" w:rsidR="00B54728" w:rsidRDefault="00F66470" w:rsidP="00E9242E">
          <w:pPr>
            <w:pStyle w:val="Verzeichnis2"/>
            <w:rPr>
              <w:rFonts w:eastAsiaTheme="minorEastAsia"/>
              <w:sz w:val="24"/>
              <w:szCs w:val="24"/>
              <w:lang w:eastAsia="de-DE"/>
              <w14:ligatures w14:val="standardContextual"/>
            </w:rPr>
          </w:pPr>
          <w:hyperlink w:anchor="_Toc210125635" w:tooltip="#_Toc210125635" w:history="1">
            <w:r>
              <w:rPr>
                <w:rStyle w:val="Hyperlink"/>
              </w:rPr>
              <w:t>1.4</w:t>
            </w:r>
            <w:r>
              <w:rPr>
                <w:rFonts w:eastAsiaTheme="minorEastAsia"/>
                <w:sz w:val="24"/>
                <w:szCs w:val="24"/>
                <w:lang w:eastAsia="de-DE"/>
                <w14:ligatures w14:val="standardContextual"/>
              </w:rPr>
              <w:tab/>
            </w:r>
            <w:r>
              <w:rPr>
                <w:rStyle w:val="Hyperlink"/>
              </w:rPr>
              <w:t>Preisbindung</w:t>
            </w:r>
            <w:r>
              <w:tab/>
            </w:r>
            <w:r>
              <w:fldChar w:fldCharType="begin"/>
            </w:r>
            <w:r>
              <w:instrText xml:space="preserve"> PAGEREF _Toc210125635 \h </w:instrText>
            </w:r>
            <w:r>
              <w:fldChar w:fldCharType="separate"/>
            </w:r>
            <w:r>
              <w:t>6</w:t>
            </w:r>
            <w:r>
              <w:fldChar w:fldCharType="end"/>
            </w:r>
          </w:hyperlink>
        </w:p>
        <w:p w14:paraId="7EBB1A8D" w14:textId="77777777" w:rsidR="00B54728" w:rsidRDefault="00F66470" w:rsidP="00E9242E">
          <w:pPr>
            <w:pStyle w:val="Verzeichnis1"/>
            <w:rPr>
              <w:rFonts w:eastAsiaTheme="minorEastAsia"/>
              <w:sz w:val="24"/>
              <w:szCs w:val="24"/>
              <w:lang w:eastAsia="de-DE"/>
              <w14:ligatures w14:val="standardContextual"/>
            </w:rPr>
          </w:pPr>
          <w:hyperlink w:anchor="_Toc210125636" w:tooltip="#_Toc210125636" w:history="1">
            <w:r>
              <w:rPr>
                <w:rStyle w:val="Hyperlink"/>
              </w:rPr>
              <w:t>2.</w:t>
            </w:r>
            <w:r>
              <w:rPr>
                <w:rFonts w:eastAsiaTheme="minorEastAsia"/>
                <w:sz w:val="24"/>
                <w:szCs w:val="24"/>
                <w:lang w:eastAsia="de-DE"/>
                <w14:ligatures w14:val="standardContextual"/>
              </w:rPr>
              <w:tab/>
            </w:r>
            <w:r>
              <w:rPr>
                <w:rStyle w:val="Hyperlink"/>
              </w:rPr>
              <w:t>IST Situation</w:t>
            </w:r>
            <w:r>
              <w:tab/>
            </w:r>
            <w:r>
              <w:fldChar w:fldCharType="begin"/>
            </w:r>
            <w:r>
              <w:instrText xml:space="preserve"> PAGEREF _Toc210125636 \h </w:instrText>
            </w:r>
            <w:r>
              <w:fldChar w:fldCharType="separate"/>
            </w:r>
            <w:r>
              <w:t>6</w:t>
            </w:r>
            <w:r>
              <w:fldChar w:fldCharType="end"/>
            </w:r>
          </w:hyperlink>
        </w:p>
        <w:p w14:paraId="6AF69466" w14:textId="77777777" w:rsidR="00B54728" w:rsidRDefault="00F66470" w:rsidP="00E9242E">
          <w:pPr>
            <w:pStyle w:val="Verzeichnis1"/>
            <w:rPr>
              <w:rFonts w:eastAsiaTheme="minorEastAsia"/>
              <w:sz w:val="24"/>
              <w:szCs w:val="24"/>
              <w:lang w:eastAsia="de-DE"/>
              <w14:ligatures w14:val="standardContextual"/>
            </w:rPr>
          </w:pPr>
          <w:hyperlink w:anchor="_Toc210125637" w:tooltip="#_Toc210125637" w:history="1">
            <w:r>
              <w:rPr>
                <w:rStyle w:val="Hyperlink"/>
              </w:rPr>
              <w:t>3.</w:t>
            </w:r>
            <w:r>
              <w:rPr>
                <w:rFonts w:eastAsiaTheme="minorEastAsia"/>
                <w:sz w:val="24"/>
                <w:szCs w:val="24"/>
                <w:lang w:eastAsia="de-DE"/>
                <w14:ligatures w14:val="standardContextual"/>
              </w:rPr>
              <w:tab/>
            </w:r>
            <w:r>
              <w:rPr>
                <w:rStyle w:val="Hyperlink"/>
              </w:rPr>
              <w:t>Anforderungen WAN Verbindungen</w:t>
            </w:r>
            <w:r>
              <w:tab/>
            </w:r>
            <w:r>
              <w:fldChar w:fldCharType="begin"/>
            </w:r>
            <w:r>
              <w:instrText xml:space="preserve"> PAGEREF _Toc210125637 \h </w:instrText>
            </w:r>
            <w:r>
              <w:fldChar w:fldCharType="separate"/>
            </w:r>
            <w:r>
              <w:t>6</w:t>
            </w:r>
            <w:r>
              <w:fldChar w:fldCharType="end"/>
            </w:r>
          </w:hyperlink>
        </w:p>
        <w:p w14:paraId="10A7EC97" w14:textId="77777777" w:rsidR="00B54728" w:rsidRDefault="00F66470" w:rsidP="00E9242E">
          <w:pPr>
            <w:pStyle w:val="Verzeichnis2"/>
            <w:rPr>
              <w:rFonts w:eastAsiaTheme="minorEastAsia"/>
              <w:sz w:val="24"/>
              <w:szCs w:val="24"/>
              <w:lang w:eastAsia="de-DE"/>
              <w14:ligatures w14:val="standardContextual"/>
            </w:rPr>
          </w:pPr>
          <w:hyperlink w:anchor="_Toc210125638" w:tooltip="#_Toc210125638" w:history="1">
            <w:r>
              <w:rPr>
                <w:rStyle w:val="Hyperlink"/>
              </w:rPr>
              <w:t>3.1</w:t>
            </w:r>
            <w:r>
              <w:rPr>
                <w:rFonts w:eastAsiaTheme="minorEastAsia"/>
                <w:sz w:val="24"/>
                <w:szCs w:val="24"/>
                <w:lang w:eastAsia="de-DE"/>
                <w14:ligatures w14:val="standardContextual"/>
              </w:rPr>
              <w:tab/>
            </w:r>
            <w:r>
              <w:rPr>
                <w:rStyle w:val="Hyperlink"/>
              </w:rPr>
              <w:t>Versorgung aller Standorte mit Datenanbindungen</w:t>
            </w:r>
            <w:r>
              <w:tab/>
            </w:r>
            <w:r>
              <w:fldChar w:fldCharType="begin"/>
            </w:r>
            <w:r>
              <w:instrText xml:space="preserve"> PAGEREF _Toc210125638 \h </w:instrText>
            </w:r>
            <w:r>
              <w:fldChar w:fldCharType="separate"/>
            </w:r>
            <w:r>
              <w:t>6</w:t>
            </w:r>
            <w:r>
              <w:fldChar w:fldCharType="end"/>
            </w:r>
          </w:hyperlink>
        </w:p>
        <w:p w14:paraId="152C271D" w14:textId="77777777" w:rsidR="00B54728" w:rsidRDefault="00F66470" w:rsidP="00E9242E">
          <w:pPr>
            <w:pStyle w:val="Verzeichnis2"/>
            <w:rPr>
              <w:rFonts w:eastAsiaTheme="minorEastAsia"/>
              <w:sz w:val="24"/>
              <w:szCs w:val="24"/>
              <w:lang w:eastAsia="de-DE"/>
              <w14:ligatures w14:val="standardContextual"/>
            </w:rPr>
          </w:pPr>
          <w:hyperlink w:anchor="_Toc210125639" w:tooltip="#_Toc210125639" w:history="1">
            <w:r>
              <w:rPr>
                <w:rStyle w:val="Hyperlink"/>
              </w:rPr>
              <w:t>3.2</w:t>
            </w:r>
            <w:r>
              <w:rPr>
                <w:rFonts w:eastAsiaTheme="minorEastAsia"/>
                <w:sz w:val="24"/>
                <w:szCs w:val="24"/>
                <w:lang w:eastAsia="de-DE"/>
                <w14:ligatures w14:val="standardContextual"/>
              </w:rPr>
              <w:tab/>
            </w:r>
            <w:r>
              <w:rPr>
                <w:rStyle w:val="Hyperlink"/>
              </w:rPr>
              <w:t>Anforderung an die Layer-2 Anbindung per Glasfaser</w:t>
            </w:r>
            <w:r>
              <w:tab/>
            </w:r>
            <w:r>
              <w:fldChar w:fldCharType="begin"/>
            </w:r>
            <w:r>
              <w:instrText xml:space="preserve"> PAGEREF _Toc210125639 \h </w:instrText>
            </w:r>
            <w:r>
              <w:fldChar w:fldCharType="separate"/>
            </w:r>
            <w:r>
              <w:t>7</w:t>
            </w:r>
            <w:r>
              <w:fldChar w:fldCharType="end"/>
            </w:r>
          </w:hyperlink>
        </w:p>
        <w:p w14:paraId="59E5373C" w14:textId="77777777" w:rsidR="00B54728" w:rsidRDefault="00F66470" w:rsidP="00E9242E">
          <w:pPr>
            <w:pStyle w:val="Verzeichnis3"/>
            <w:rPr>
              <w:rFonts w:eastAsiaTheme="minorEastAsia"/>
              <w:sz w:val="24"/>
              <w:szCs w:val="24"/>
              <w:lang w:eastAsia="de-DE"/>
              <w14:ligatures w14:val="standardContextual"/>
            </w:rPr>
          </w:pPr>
          <w:hyperlink w:anchor="_Toc210125640" w:tooltip="#_Toc210125640" w:history="1">
            <w:r>
              <w:rPr>
                <w:rStyle w:val="Hyperlink"/>
              </w:rPr>
              <w:t>3.2.1 Ethernet Virtual Connection (EVC) – logische Verbindungen</w:t>
            </w:r>
            <w:r>
              <w:tab/>
            </w:r>
            <w:r>
              <w:fldChar w:fldCharType="begin"/>
            </w:r>
            <w:r>
              <w:instrText xml:space="preserve"> PAGEREF _Toc210125640 \h </w:instrText>
            </w:r>
            <w:r>
              <w:fldChar w:fldCharType="separate"/>
            </w:r>
            <w:r>
              <w:t>8</w:t>
            </w:r>
            <w:r>
              <w:fldChar w:fldCharType="end"/>
            </w:r>
          </w:hyperlink>
        </w:p>
        <w:p w14:paraId="4984DF60" w14:textId="77777777" w:rsidR="00B54728" w:rsidRDefault="00F66470" w:rsidP="00E9242E">
          <w:pPr>
            <w:pStyle w:val="Verzeichnis3"/>
            <w:rPr>
              <w:rFonts w:eastAsiaTheme="minorEastAsia"/>
              <w:sz w:val="24"/>
              <w:szCs w:val="24"/>
              <w:lang w:eastAsia="de-DE"/>
              <w14:ligatures w14:val="standardContextual"/>
            </w:rPr>
          </w:pPr>
          <w:hyperlink w:anchor="_Toc210125641" w:tooltip="#_Toc210125641" w:history="1">
            <w:r>
              <w:rPr>
                <w:rStyle w:val="Hyperlink"/>
              </w:rPr>
              <w:t>3.2.2 Virtuelle EVPL (Ethernet Virtuell Private Line) virtuelle logische Verbindung</w:t>
            </w:r>
            <w:r>
              <w:tab/>
            </w:r>
            <w:r>
              <w:fldChar w:fldCharType="begin"/>
            </w:r>
            <w:r>
              <w:instrText xml:space="preserve"> PAGEREF _Toc210125641 \h </w:instrText>
            </w:r>
            <w:r>
              <w:fldChar w:fldCharType="separate"/>
            </w:r>
            <w:r>
              <w:t>8</w:t>
            </w:r>
            <w:r>
              <w:fldChar w:fldCharType="end"/>
            </w:r>
          </w:hyperlink>
        </w:p>
        <w:p w14:paraId="097A32E8" w14:textId="77777777" w:rsidR="00B54728" w:rsidRDefault="00F66470" w:rsidP="00E9242E">
          <w:pPr>
            <w:pStyle w:val="Verzeichnis3"/>
            <w:rPr>
              <w:rFonts w:eastAsiaTheme="minorEastAsia"/>
              <w:sz w:val="24"/>
              <w:szCs w:val="24"/>
              <w:lang w:eastAsia="de-DE"/>
              <w14:ligatures w14:val="standardContextual"/>
            </w:rPr>
          </w:pPr>
          <w:hyperlink w:anchor="_Toc210125642" w:tooltip="#_Toc210125642" w:history="1">
            <w:r>
              <w:rPr>
                <w:rStyle w:val="Hyperlink"/>
              </w:rPr>
              <w:t>3.2.3 Netzabschlussgeräte &lt; 1 Gbit, 1 Gbit</w:t>
            </w:r>
            <w:r>
              <w:tab/>
            </w:r>
            <w:r>
              <w:fldChar w:fldCharType="begin"/>
            </w:r>
            <w:r>
              <w:instrText xml:space="preserve"> PAGEREF _Toc210125642 \h </w:instrText>
            </w:r>
            <w:r>
              <w:fldChar w:fldCharType="separate"/>
            </w:r>
            <w:r>
              <w:t>8</w:t>
            </w:r>
            <w:r>
              <w:fldChar w:fldCharType="end"/>
            </w:r>
          </w:hyperlink>
        </w:p>
        <w:p w14:paraId="2FFF9745" w14:textId="77777777" w:rsidR="00B54728" w:rsidRDefault="00F66470" w:rsidP="00E9242E">
          <w:pPr>
            <w:pStyle w:val="Verzeichnis3"/>
            <w:rPr>
              <w:rFonts w:eastAsiaTheme="minorEastAsia"/>
              <w:sz w:val="24"/>
              <w:szCs w:val="24"/>
              <w:lang w:eastAsia="de-DE"/>
              <w14:ligatures w14:val="standardContextual"/>
            </w:rPr>
          </w:pPr>
          <w:hyperlink w:anchor="_Toc210125643" w:tooltip="#_Toc210125643" w:history="1">
            <w:r>
              <w:rPr>
                <w:rStyle w:val="Hyperlink"/>
              </w:rPr>
              <w:t>3.2.4 Netzabschlussgeräte 2 Gbit, 4 Gbit, 10 Gbit</w:t>
            </w:r>
            <w:r>
              <w:tab/>
            </w:r>
            <w:r>
              <w:fldChar w:fldCharType="begin"/>
            </w:r>
            <w:r>
              <w:instrText xml:space="preserve"> PAGEREF _Toc210125643 \h </w:instrText>
            </w:r>
            <w:r>
              <w:fldChar w:fldCharType="separate"/>
            </w:r>
            <w:r>
              <w:t>9</w:t>
            </w:r>
            <w:r>
              <w:fldChar w:fldCharType="end"/>
            </w:r>
          </w:hyperlink>
        </w:p>
        <w:p w14:paraId="7B5AF340" w14:textId="77777777" w:rsidR="00B54728" w:rsidRDefault="00F66470" w:rsidP="00E9242E">
          <w:pPr>
            <w:pStyle w:val="Verzeichnis3"/>
            <w:rPr>
              <w:rFonts w:eastAsiaTheme="minorEastAsia"/>
              <w:sz w:val="24"/>
              <w:szCs w:val="24"/>
              <w:lang w:eastAsia="de-DE"/>
              <w14:ligatures w14:val="standardContextual"/>
            </w:rPr>
          </w:pPr>
          <w:hyperlink w:anchor="_Toc210125644" w:tooltip="#_Toc210125644" w:history="1">
            <w:r>
              <w:rPr>
                <w:rStyle w:val="Hyperlink"/>
              </w:rPr>
              <w:t>3.2.5 Qualitätsparameter</w:t>
            </w:r>
            <w:r>
              <w:tab/>
            </w:r>
            <w:r>
              <w:fldChar w:fldCharType="begin"/>
            </w:r>
            <w:r>
              <w:instrText xml:space="preserve"> PAGEREF _Toc210125644 \h </w:instrText>
            </w:r>
            <w:r>
              <w:fldChar w:fldCharType="separate"/>
            </w:r>
            <w:r>
              <w:t>9</w:t>
            </w:r>
            <w:r>
              <w:fldChar w:fldCharType="end"/>
            </w:r>
          </w:hyperlink>
        </w:p>
        <w:p w14:paraId="6B32DF80" w14:textId="77777777" w:rsidR="00B54728" w:rsidRDefault="00F66470" w:rsidP="00E9242E">
          <w:pPr>
            <w:pStyle w:val="Verzeichnis1"/>
            <w:rPr>
              <w:rFonts w:eastAsiaTheme="minorEastAsia"/>
              <w:sz w:val="24"/>
              <w:szCs w:val="24"/>
              <w:lang w:eastAsia="de-DE"/>
              <w14:ligatures w14:val="standardContextual"/>
            </w:rPr>
          </w:pPr>
          <w:hyperlink w:anchor="_Toc210125645" w:tooltip="#_Toc210125645" w:history="1">
            <w:r>
              <w:rPr>
                <w:rStyle w:val="Hyperlink"/>
              </w:rPr>
              <w:t>4.</w:t>
            </w:r>
            <w:r>
              <w:rPr>
                <w:rFonts w:eastAsiaTheme="minorEastAsia"/>
                <w:sz w:val="24"/>
                <w:szCs w:val="24"/>
                <w:lang w:eastAsia="de-DE"/>
                <w14:ligatures w14:val="standardContextual"/>
              </w:rPr>
              <w:tab/>
            </w:r>
            <w:r>
              <w:rPr>
                <w:rStyle w:val="Hyperlink"/>
              </w:rPr>
              <w:t>Allgemeine Service Anforderungen</w:t>
            </w:r>
            <w:r>
              <w:tab/>
            </w:r>
            <w:r>
              <w:fldChar w:fldCharType="begin"/>
            </w:r>
            <w:r>
              <w:instrText xml:space="preserve"> PAGEREF _Toc210125645 \h </w:instrText>
            </w:r>
            <w:r>
              <w:fldChar w:fldCharType="separate"/>
            </w:r>
            <w:r>
              <w:t>10</w:t>
            </w:r>
            <w:r>
              <w:fldChar w:fldCharType="end"/>
            </w:r>
          </w:hyperlink>
        </w:p>
        <w:p w14:paraId="19B51814" w14:textId="77777777" w:rsidR="00B54728" w:rsidRDefault="00F66470" w:rsidP="00E9242E">
          <w:pPr>
            <w:pStyle w:val="Verzeichnis2"/>
            <w:rPr>
              <w:rFonts w:eastAsiaTheme="minorEastAsia"/>
              <w:sz w:val="24"/>
              <w:szCs w:val="24"/>
              <w:lang w:eastAsia="de-DE"/>
              <w14:ligatures w14:val="standardContextual"/>
            </w:rPr>
          </w:pPr>
          <w:hyperlink w:anchor="_Toc210125646" w:tooltip="#_Toc210125646" w:history="1">
            <w:r>
              <w:rPr>
                <w:rStyle w:val="Hyperlink"/>
              </w:rPr>
              <w:t>4.1</w:t>
            </w:r>
            <w:r>
              <w:rPr>
                <w:rFonts w:eastAsiaTheme="minorEastAsia"/>
                <w:sz w:val="24"/>
                <w:szCs w:val="24"/>
                <w:lang w:eastAsia="de-DE"/>
                <w14:ligatures w14:val="standardContextual"/>
              </w:rPr>
              <w:tab/>
            </w:r>
            <w:r>
              <w:rPr>
                <w:rStyle w:val="Hyperlink"/>
              </w:rPr>
              <w:t>Service-Dienstleistungen</w:t>
            </w:r>
            <w:r>
              <w:tab/>
            </w:r>
            <w:r>
              <w:fldChar w:fldCharType="begin"/>
            </w:r>
            <w:r>
              <w:instrText xml:space="preserve"> PAGEREF _Toc210125646 \h </w:instrText>
            </w:r>
            <w:r>
              <w:fldChar w:fldCharType="separate"/>
            </w:r>
            <w:r>
              <w:t>10</w:t>
            </w:r>
            <w:r>
              <w:fldChar w:fldCharType="end"/>
            </w:r>
          </w:hyperlink>
        </w:p>
        <w:p w14:paraId="5369845E" w14:textId="77777777" w:rsidR="00B54728" w:rsidRDefault="00F66470" w:rsidP="00E9242E">
          <w:pPr>
            <w:pStyle w:val="Verzeichnis3"/>
            <w:rPr>
              <w:rFonts w:eastAsiaTheme="minorEastAsia"/>
              <w:sz w:val="24"/>
              <w:szCs w:val="24"/>
              <w:lang w:eastAsia="de-DE"/>
              <w14:ligatures w14:val="standardContextual"/>
            </w:rPr>
          </w:pPr>
          <w:hyperlink w:anchor="_Toc210125647" w:tooltip="#_Toc210125647" w:history="1">
            <w:r>
              <w:rPr>
                <w:rStyle w:val="Hyperlink"/>
              </w:rPr>
              <w:t>4.1.1 Direkte zentrale Ansprechpartner des Auftragnehmers</w:t>
            </w:r>
            <w:r>
              <w:tab/>
            </w:r>
            <w:r>
              <w:fldChar w:fldCharType="begin"/>
            </w:r>
            <w:r>
              <w:instrText xml:space="preserve"> PAGEREF _Toc210125647 \h </w:instrText>
            </w:r>
            <w:r>
              <w:fldChar w:fldCharType="separate"/>
            </w:r>
            <w:r>
              <w:t>10</w:t>
            </w:r>
            <w:r>
              <w:fldChar w:fldCharType="end"/>
            </w:r>
          </w:hyperlink>
        </w:p>
        <w:p w14:paraId="1207E078" w14:textId="77777777" w:rsidR="00B54728" w:rsidRDefault="00F66470" w:rsidP="00E9242E">
          <w:pPr>
            <w:pStyle w:val="Verzeichnis3"/>
            <w:rPr>
              <w:rFonts w:eastAsiaTheme="minorEastAsia"/>
              <w:sz w:val="24"/>
              <w:szCs w:val="24"/>
              <w:lang w:eastAsia="de-DE"/>
              <w14:ligatures w14:val="standardContextual"/>
            </w:rPr>
          </w:pPr>
          <w:hyperlink w:anchor="_Toc210125648" w:tooltip="#_Toc210125648" w:history="1">
            <w:r>
              <w:rPr>
                <w:rStyle w:val="Hyperlink"/>
              </w:rPr>
              <w:t>4.1.2 Service-Team</w:t>
            </w:r>
            <w:r>
              <w:tab/>
            </w:r>
            <w:r>
              <w:fldChar w:fldCharType="begin"/>
            </w:r>
            <w:r>
              <w:instrText xml:space="preserve"> PAGEREF _Toc210125648 \h </w:instrText>
            </w:r>
            <w:r>
              <w:fldChar w:fldCharType="separate"/>
            </w:r>
            <w:r>
              <w:t>10</w:t>
            </w:r>
            <w:r>
              <w:fldChar w:fldCharType="end"/>
            </w:r>
          </w:hyperlink>
        </w:p>
        <w:p w14:paraId="533B18A9" w14:textId="77777777" w:rsidR="00B54728" w:rsidRDefault="00F66470" w:rsidP="00E9242E">
          <w:pPr>
            <w:pStyle w:val="Verzeichnis3"/>
            <w:rPr>
              <w:rFonts w:eastAsiaTheme="minorEastAsia"/>
              <w:sz w:val="24"/>
              <w:szCs w:val="24"/>
              <w:lang w:eastAsia="de-DE"/>
              <w14:ligatures w14:val="standardContextual"/>
            </w:rPr>
          </w:pPr>
          <w:hyperlink w:anchor="_Toc210125649" w:tooltip="#_Toc210125649" w:history="1">
            <w:r>
              <w:rPr>
                <w:rStyle w:val="Hyperlink"/>
              </w:rPr>
              <w:t>4.1.3 Proaktives Netzmonitoring – nach Standard des Auftragnehmers</w:t>
            </w:r>
            <w:r>
              <w:tab/>
            </w:r>
            <w:r>
              <w:fldChar w:fldCharType="begin"/>
            </w:r>
            <w:r>
              <w:instrText xml:space="preserve"> PAGEREF _Toc210125649 \h </w:instrText>
            </w:r>
            <w:r>
              <w:fldChar w:fldCharType="separate"/>
            </w:r>
            <w:r>
              <w:t>10</w:t>
            </w:r>
            <w:r>
              <w:fldChar w:fldCharType="end"/>
            </w:r>
          </w:hyperlink>
        </w:p>
        <w:p w14:paraId="1D2DE6A9" w14:textId="77777777" w:rsidR="00B54728" w:rsidRDefault="00F66470" w:rsidP="00E9242E">
          <w:pPr>
            <w:pStyle w:val="Verzeichnis1"/>
            <w:rPr>
              <w:rFonts w:eastAsiaTheme="minorEastAsia"/>
              <w:sz w:val="24"/>
              <w:szCs w:val="24"/>
              <w:lang w:eastAsia="de-DE"/>
              <w14:ligatures w14:val="standardContextual"/>
            </w:rPr>
          </w:pPr>
          <w:hyperlink w:anchor="_Toc210125650" w:tooltip="#_Toc210125650" w:history="1">
            <w:r>
              <w:rPr>
                <w:rStyle w:val="Hyperlink"/>
              </w:rPr>
              <w:t>5.</w:t>
            </w:r>
            <w:r>
              <w:rPr>
                <w:rFonts w:eastAsiaTheme="minorEastAsia"/>
                <w:sz w:val="24"/>
                <w:szCs w:val="24"/>
                <w:lang w:eastAsia="de-DE"/>
                <w14:ligatures w14:val="standardContextual"/>
              </w:rPr>
              <w:tab/>
            </w:r>
            <w:r>
              <w:rPr>
                <w:rStyle w:val="Hyperlink"/>
              </w:rPr>
              <w:t>Betrieb &amp; Service für Festnetzanschlüsse und gemietete Festnetzendgeräte</w:t>
            </w:r>
            <w:r>
              <w:tab/>
            </w:r>
            <w:r>
              <w:fldChar w:fldCharType="begin"/>
            </w:r>
            <w:r>
              <w:instrText xml:space="preserve"> PAGEREF _Toc210125650 \h </w:instrText>
            </w:r>
            <w:r>
              <w:fldChar w:fldCharType="separate"/>
            </w:r>
            <w:r>
              <w:t>12</w:t>
            </w:r>
            <w:r>
              <w:fldChar w:fldCharType="end"/>
            </w:r>
          </w:hyperlink>
        </w:p>
        <w:p w14:paraId="04F69E04" w14:textId="77777777" w:rsidR="00B54728" w:rsidRDefault="00F66470" w:rsidP="00E9242E">
          <w:pPr>
            <w:pStyle w:val="Verzeichnis2"/>
            <w:rPr>
              <w:rFonts w:eastAsiaTheme="minorEastAsia"/>
              <w:sz w:val="24"/>
              <w:szCs w:val="24"/>
              <w:lang w:eastAsia="de-DE"/>
              <w14:ligatures w14:val="standardContextual"/>
            </w:rPr>
          </w:pPr>
          <w:hyperlink w:anchor="_Toc210125651" w:tooltip="#_Toc210125651" w:history="1">
            <w:r>
              <w:rPr>
                <w:rStyle w:val="Hyperlink"/>
              </w:rPr>
              <w:t>5.1</w:t>
            </w:r>
            <w:r>
              <w:rPr>
                <w:rFonts w:eastAsiaTheme="minorEastAsia"/>
                <w:sz w:val="24"/>
                <w:szCs w:val="24"/>
                <w:lang w:eastAsia="de-DE"/>
                <w14:ligatures w14:val="standardContextual"/>
              </w:rPr>
              <w:tab/>
            </w:r>
            <w:r>
              <w:rPr>
                <w:rStyle w:val="Hyperlink"/>
              </w:rPr>
              <w:t>Service-Level-Agreements für Festnetzanschlüsse (Leitungen) inklusive der gemieteten Festnetzendgeräte</w:t>
            </w:r>
            <w:r>
              <w:tab/>
            </w:r>
            <w:r>
              <w:fldChar w:fldCharType="begin"/>
            </w:r>
            <w:r>
              <w:instrText xml:space="preserve"> PAGEREF _Toc210125651 \h </w:instrText>
            </w:r>
            <w:r>
              <w:fldChar w:fldCharType="separate"/>
            </w:r>
            <w:r>
              <w:t>12</w:t>
            </w:r>
            <w:r>
              <w:fldChar w:fldCharType="end"/>
            </w:r>
          </w:hyperlink>
        </w:p>
        <w:p w14:paraId="0418B0E9" w14:textId="77777777" w:rsidR="00B54728" w:rsidRDefault="00F66470" w:rsidP="00E9242E">
          <w:pPr>
            <w:pStyle w:val="Verzeichnis2"/>
            <w:rPr>
              <w:rFonts w:eastAsiaTheme="minorEastAsia"/>
              <w:sz w:val="24"/>
              <w:szCs w:val="24"/>
              <w:lang w:eastAsia="de-DE"/>
              <w14:ligatures w14:val="standardContextual"/>
            </w:rPr>
          </w:pPr>
          <w:hyperlink w:anchor="_Toc210125652" w:tooltip="#_Toc210125652" w:history="1">
            <w:r>
              <w:rPr>
                <w:rStyle w:val="Hyperlink"/>
              </w:rPr>
              <w:t>5.2</w:t>
            </w:r>
            <w:r>
              <w:rPr>
                <w:rFonts w:eastAsiaTheme="minorEastAsia"/>
                <w:sz w:val="24"/>
                <w:szCs w:val="24"/>
                <w:lang w:eastAsia="de-DE"/>
                <w14:ligatures w14:val="standardContextual"/>
              </w:rPr>
              <w:tab/>
            </w:r>
            <w:r>
              <w:rPr>
                <w:rStyle w:val="Hyperlink"/>
              </w:rPr>
              <w:t>Betriebsfertige Übergabe und Installation von Anschlüssen</w:t>
            </w:r>
            <w:r>
              <w:tab/>
            </w:r>
            <w:r>
              <w:fldChar w:fldCharType="begin"/>
            </w:r>
            <w:r>
              <w:instrText xml:space="preserve"> PAGEREF _Toc210125652 \h </w:instrText>
            </w:r>
            <w:r>
              <w:fldChar w:fldCharType="separate"/>
            </w:r>
            <w:r>
              <w:t>12</w:t>
            </w:r>
            <w:r>
              <w:fldChar w:fldCharType="end"/>
            </w:r>
          </w:hyperlink>
        </w:p>
        <w:p w14:paraId="424789A0" w14:textId="77777777" w:rsidR="00B54728" w:rsidRDefault="00F66470" w:rsidP="00E9242E">
          <w:pPr>
            <w:pStyle w:val="Verzeichnis2"/>
            <w:rPr>
              <w:rFonts w:eastAsiaTheme="minorEastAsia"/>
              <w:sz w:val="24"/>
              <w:szCs w:val="24"/>
              <w:lang w:eastAsia="de-DE"/>
              <w14:ligatures w14:val="standardContextual"/>
            </w:rPr>
          </w:pPr>
          <w:hyperlink w:anchor="_Toc210125653" w:tooltip="#_Toc210125653" w:history="1">
            <w:r>
              <w:rPr>
                <w:rStyle w:val="Hyperlink"/>
              </w:rPr>
              <w:t>5.3</w:t>
            </w:r>
            <w:r>
              <w:rPr>
                <w:rFonts w:eastAsiaTheme="minorEastAsia"/>
                <w:sz w:val="24"/>
                <w:szCs w:val="24"/>
                <w:lang w:eastAsia="de-DE"/>
                <w14:ligatures w14:val="standardContextual"/>
              </w:rPr>
              <w:tab/>
            </w:r>
            <w:r>
              <w:rPr>
                <w:rStyle w:val="Hyperlink"/>
              </w:rPr>
              <w:t>Bereitstellungszeiten</w:t>
            </w:r>
            <w:r>
              <w:tab/>
            </w:r>
            <w:r>
              <w:fldChar w:fldCharType="begin"/>
            </w:r>
            <w:r>
              <w:instrText xml:space="preserve"> PAGEREF _Toc210125653 \h </w:instrText>
            </w:r>
            <w:r>
              <w:fldChar w:fldCharType="separate"/>
            </w:r>
            <w:r>
              <w:t>13</w:t>
            </w:r>
            <w:r>
              <w:fldChar w:fldCharType="end"/>
            </w:r>
          </w:hyperlink>
        </w:p>
        <w:p w14:paraId="4D7794B1" w14:textId="77777777" w:rsidR="00B54728" w:rsidRDefault="00F66470" w:rsidP="00E9242E">
          <w:pPr>
            <w:pStyle w:val="Verzeichnis2"/>
            <w:rPr>
              <w:rFonts w:eastAsiaTheme="minorEastAsia"/>
              <w:sz w:val="24"/>
              <w:szCs w:val="24"/>
              <w:lang w:eastAsia="de-DE"/>
              <w14:ligatures w14:val="standardContextual"/>
            </w:rPr>
          </w:pPr>
          <w:hyperlink w:anchor="_Toc210125654" w:tooltip="#_Toc210125654" w:history="1">
            <w:r>
              <w:rPr>
                <w:rStyle w:val="Hyperlink"/>
              </w:rPr>
              <w:t>5.4</w:t>
            </w:r>
            <w:r>
              <w:rPr>
                <w:rFonts w:eastAsiaTheme="minorEastAsia"/>
                <w:sz w:val="24"/>
                <w:szCs w:val="24"/>
                <w:lang w:eastAsia="de-DE"/>
                <w14:ligatures w14:val="standardContextual"/>
              </w:rPr>
              <w:tab/>
            </w:r>
            <w:r>
              <w:rPr>
                <w:rStyle w:val="Hyperlink"/>
              </w:rPr>
              <w:t>Support und Störungen</w:t>
            </w:r>
            <w:r>
              <w:tab/>
            </w:r>
            <w:r>
              <w:fldChar w:fldCharType="begin"/>
            </w:r>
            <w:r>
              <w:instrText xml:space="preserve"> PAGEREF _Toc210125654 \h </w:instrText>
            </w:r>
            <w:r>
              <w:fldChar w:fldCharType="separate"/>
            </w:r>
            <w:r>
              <w:t>13</w:t>
            </w:r>
            <w:r>
              <w:fldChar w:fldCharType="end"/>
            </w:r>
          </w:hyperlink>
        </w:p>
        <w:p w14:paraId="7F9034C5" w14:textId="77777777" w:rsidR="00B54728" w:rsidRDefault="00F66470" w:rsidP="00E9242E">
          <w:pPr>
            <w:pStyle w:val="Verzeichnis2"/>
            <w:rPr>
              <w:rFonts w:eastAsiaTheme="minorEastAsia"/>
              <w:sz w:val="24"/>
              <w:szCs w:val="24"/>
              <w:lang w:eastAsia="de-DE"/>
              <w14:ligatures w14:val="standardContextual"/>
            </w:rPr>
          </w:pPr>
          <w:hyperlink w:anchor="_Toc210125655" w:tooltip="#_Toc210125655" w:history="1">
            <w:r>
              <w:rPr>
                <w:rStyle w:val="Hyperlink"/>
              </w:rPr>
              <w:t>5.5</w:t>
            </w:r>
            <w:r>
              <w:rPr>
                <w:rFonts w:eastAsiaTheme="minorEastAsia"/>
                <w:sz w:val="24"/>
                <w:szCs w:val="24"/>
                <w:lang w:eastAsia="de-DE"/>
                <w14:ligatures w14:val="standardContextual"/>
              </w:rPr>
              <w:tab/>
            </w:r>
            <w:r>
              <w:rPr>
                <w:rStyle w:val="Hyperlink"/>
              </w:rPr>
              <w:t>Hardwareservice und Sicherheitsupdates bei gemieteten Festnetzendgeräten</w:t>
            </w:r>
            <w:r>
              <w:tab/>
            </w:r>
            <w:r>
              <w:fldChar w:fldCharType="begin"/>
            </w:r>
            <w:r>
              <w:instrText xml:space="preserve"> PAGEREF _Toc210125655 \h </w:instrText>
            </w:r>
            <w:r>
              <w:fldChar w:fldCharType="separate"/>
            </w:r>
            <w:r>
              <w:t>13</w:t>
            </w:r>
            <w:r>
              <w:fldChar w:fldCharType="end"/>
            </w:r>
          </w:hyperlink>
        </w:p>
        <w:p w14:paraId="5A456E0A" w14:textId="77777777" w:rsidR="00B54728" w:rsidRDefault="00F66470" w:rsidP="00E9242E">
          <w:pPr>
            <w:pStyle w:val="Verzeichnis2"/>
            <w:rPr>
              <w:rFonts w:eastAsiaTheme="minorEastAsia"/>
              <w:sz w:val="24"/>
              <w:szCs w:val="24"/>
              <w:lang w:eastAsia="de-DE"/>
              <w14:ligatures w14:val="standardContextual"/>
            </w:rPr>
          </w:pPr>
          <w:hyperlink w:anchor="_Toc210125656" w:tooltip="#_Toc210125656" w:history="1">
            <w:r>
              <w:rPr>
                <w:rStyle w:val="Hyperlink"/>
              </w:rPr>
              <w:t>5.6</w:t>
            </w:r>
            <w:r>
              <w:rPr>
                <w:rFonts w:eastAsiaTheme="minorEastAsia"/>
                <w:sz w:val="24"/>
                <w:szCs w:val="24"/>
                <w:lang w:eastAsia="de-DE"/>
                <w14:ligatures w14:val="standardContextual"/>
              </w:rPr>
              <w:tab/>
            </w:r>
            <w:r>
              <w:rPr>
                <w:rStyle w:val="Hyperlink"/>
              </w:rPr>
              <w:t>Einordnung in Störungsklassen</w:t>
            </w:r>
            <w:r>
              <w:tab/>
            </w:r>
            <w:r>
              <w:fldChar w:fldCharType="begin"/>
            </w:r>
            <w:r>
              <w:instrText xml:space="preserve"> PAGEREF _Toc210125656 \h </w:instrText>
            </w:r>
            <w:r>
              <w:fldChar w:fldCharType="separate"/>
            </w:r>
            <w:r>
              <w:t>14</w:t>
            </w:r>
            <w:r>
              <w:fldChar w:fldCharType="end"/>
            </w:r>
          </w:hyperlink>
        </w:p>
        <w:p w14:paraId="349B54DE" w14:textId="77777777" w:rsidR="00B54728" w:rsidRDefault="00F66470" w:rsidP="00E9242E">
          <w:pPr>
            <w:pStyle w:val="Verzeichnis2"/>
            <w:rPr>
              <w:rFonts w:eastAsiaTheme="minorEastAsia"/>
              <w:sz w:val="24"/>
              <w:szCs w:val="24"/>
              <w:lang w:eastAsia="de-DE"/>
              <w14:ligatures w14:val="standardContextual"/>
            </w:rPr>
          </w:pPr>
          <w:hyperlink w:anchor="_Toc210125657" w:tooltip="#_Toc210125657" w:history="1">
            <w:r>
              <w:rPr>
                <w:rStyle w:val="Hyperlink"/>
              </w:rPr>
              <w:t>5.7</w:t>
            </w:r>
            <w:r>
              <w:rPr>
                <w:rFonts w:eastAsiaTheme="minorEastAsia"/>
                <w:sz w:val="24"/>
                <w:szCs w:val="24"/>
                <w:lang w:eastAsia="de-DE"/>
                <w14:ligatures w14:val="standardContextual"/>
              </w:rPr>
              <w:tab/>
            </w:r>
            <w:r>
              <w:rPr>
                <w:rStyle w:val="Hyperlink"/>
              </w:rPr>
              <w:t>Eskalationsstufen</w:t>
            </w:r>
            <w:r>
              <w:tab/>
            </w:r>
            <w:r>
              <w:fldChar w:fldCharType="begin"/>
            </w:r>
            <w:r>
              <w:instrText xml:space="preserve"> PAGEREF _Toc210125657 \h </w:instrText>
            </w:r>
            <w:r>
              <w:fldChar w:fldCharType="separate"/>
            </w:r>
            <w:r>
              <w:t>14</w:t>
            </w:r>
            <w:r>
              <w:fldChar w:fldCharType="end"/>
            </w:r>
          </w:hyperlink>
        </w:p>
        <w:p w14:paraId="46139D51" w14:textId="77777777" w:rsidR="00B54728" w:rsidRDefault="00F66470" w:rsidP="00E9242E">
          <w:pPr>
            <w:pStyle w:val="Verzeichnis2"/>
            <w:rPr>
              <w:rFonts w:eastAsiaTheme="minorEastAsia"/>
              <w:sz w:val="24"/>
              <w:szCs w:val="24"/>
              <w:lang w:eastAsia="de-DE"/>
              <w14:ligatures w14:val="standardContextual"/>
            </w:rPr>
          </w:pPr>
          <w:hyperlink w:anchor="_Toc210125658" w:tooltip="#_Toc210125658" w:history="1">
            <w:r>
              <w:rPr>
                <w:rStyle w:val="Hyperlink"/>
              </w:rPr>
              <w:t>5.8</w:t>
            </w:r>
            <w:r>
              <w:rPr>
                <w:rFonts w:eastAsiaTheme="minorEastAsia"/>
                <w:sz w:val="24"/>
                <w:szCs w:val="24"/>
                <w:lang w:eastAsia="de-DE"/>
                <w14:ligatures w14:val="standardContextual"/>
              </w:rPr>
              <w:tab/>
            </w:r>
            <w:r>
              <w:rPr>
                <w:rStyle w:val="Hyperlink"/>
              </w:rPr>
              <w:t>Sonstige Dienstleistungen</w:t>
            </w:r>
            <w:r>
              <w:tab/>
            </w:r>
            <w:r>
              <w:fldChar w:fldCharType="begin"/>
            </w:r>
            <w:r>
              <w:instrText xml:space="preserve"> PAGEREF _Toc210125658 \h </w:instrText>
            </w:r>
            <w:r>
              <w:fldChar w:fldCharType="separate"/>
            </w:r>
            <w:r>
              <w:t>15</w:t>
            </w:r>
            <w:r>
              <w:fldChar w:fldCharType="end"/>
            </w:r>
          </w:hyperlink>
        </w:p>
        <w:p w14:paraId="79871001" w14:textId="77777777" w:rsidR="00B54728" w:rsidRDefault="00F66470" w:rsidP="00E9242E">
          <w:pPr>
            <w:pStyle w:val="Verzeichnis1"/>
            <w:rPr>
              <w:rFonts w:eastAsiaTheme="minorEastAsia"/>
              <w:sz w:val="24"/>
              <w:szCs w:val="24"/>
              <w:lang w:eastAsia="de-DE"/>
              <w14:ligatures w14:val="standardContextual"/>
            </w:rPr>
          </w:pPr>
          <w:hyperlink w:anchor="_Toc210125659" w:tooltip="#_Toc210125659" w:history="1">
            <w:r>
              <w:rPr>
                <w:rStyle w:val="Hyperlink"/>
              </w:rPr>
              <w:t>6.</w:t>
            </w:r>
            <w:r>
              <w:rPr>
                <w:rFonts w:eastAsiaTheme="minorEastAsia"/>
                <w:sz w:val="24"/>
                <w:szCs w:val="24"/>
                <w:lang w:eastAsia="de-DE"/>
                <w14:ligatures w14:val="standardContextual"/>
              </w:rPr>
              <w:tab/>
            </w:r>
            <w:r>
              <w:rPr>
                <w:rStyle w:val="Hyperlink"/>
              </w:rPr>
              <w:t>Migration</w:t>
            </w:r>
            <w:r>
              <w:tab/>
            </w:r>
            <w:r>
              <w:fldChar w:fldCharType="begin"/>
            </w:r>
            <w:r>
              <w:instrText xml:space="preserve"> PAGEREF _Toc210125659 \h </w:instrText>
            </w:r>
            <w:r>
              <w:fldChar w:fldCharType="separate"/>
            </w:r>
            <w:r>
              <w:t>15</w:t>
            </w:r>
            <w:r>
              <w:fldChar w:fldCharType="end"/>
            </w:r>
          </w:hyperlink>
        </w:p>
        <w:p w14:paraId="4D7DDF90" w14:textId="77777777" w:rsidR="00B54728" w:rsidRDefault="00F66470" w:rsidP="00E9242E">
          <w:pPr>
            <w:pStyle w:val="Verzeichnis1"/>
            <w:rPr>
              <w:rFonts w:eastAsiaTheme="minorEastAsia"/>
              <w:sz w:val="24"/>
              <w:szCs w:val="24"/>
              <w:lang w:eastAsia="de-DE"/>
              <w14:ligatures w14:val="standardContextual"/>
            </w:rPr>
          </w:pPr>
          <w:hyperlink w:anchor="_Toc210125660" w:tooltip="#_Toc210125660" w:history="1">
            <w:r>
              <w:rPr>
                <w:rStyle w:val="Hyperlink"/>
              </w:rPr>
              <w:t>7.</w:t>
            </w:r>
            <w:r>
              <w:rPr>
                <w:rFonts w:eastAsiaTheme="minorEastAsia"/>
                <w:sz w:val="24"/>
                <w:szCs w:val="24"/>
                <w:lang w:eastAsia="de-DE"/>
                <w14:ligatures w14:val="standardContextual"/>
              </w:rPr>
              <w:tab/>
            </w:r>
            <w:r>
              <w:rPr>
                <w:rStyle w:val="Hyperlink"/>
              </w:rPr>
              <w:t>Dienstleistungen für spätere Arbeiten</w:t>
            </w:r>
            <w:r>
              <w:tab/>
            </w:r>
            <w:r>
              <w:fldChar w:fldCharType="begin"/>
            </w:r>
            <w:r>
              <w:instrText xml:space="preserve"> PAGEREF _Toc210125660 \h </w:instrText>
            </w:r>
            <w:r>
              <w:fldChar w:fldCharType="separate"/>
            </w:r>
            <w:r>
              <w:t>16</w:t>
            </w:r>
            <w:r>
              <w:fldChar w:fldCharType="end"/>
            </w:r>
          </w:hyperlink>
        </w:p>
        <w:p w14:paraId="70F6720C" w14:textId="77777777" w:rsidR="00B54728" w:rsidRDefault="00F66470" w:rsidP="00E9242E">
          <w:r>
            <w:rPr>
              <w:b/>
              <w:bCs/>
            </w:rPr>
            <w:fldChar w:fldCharType="end"/>
          </w:r>
        </w:p>
      </w:sdtContent>
    </w:sdt>
    <w:p w14:paraId="3982354A" w14:textId="77777777" w:rsidR="00B54728" w:rsidRDefault="00F66470" w:rsidP="00E9242E">
      <w:r>
        <w:br w:type="page" w:clear="all"/>
      </w:r>
    </w:p>
    <w:p w14:paraId="53432655" w14:textId="77777777" w:rsidR="00B54728" w:rsidRDefault="00F66470" w:rsidP="00E9242E">
      <w:pPr>
        <w:pStyle w:val="berschrift1"/>
      </w:pPr>
      <w:bookmarkStart w:id="1" w:name="_Toc478128258"/>
      <w:bookmarkStart w:id="2" w:name="_Toc508101337"/>
      <w:bookmarkStart w:id="3" w:name="_Toc210125631"/>
      <w:r>
        <w:lastRenderedPageBreak/>
        <w:t>Einleitung</w:t>
      </w:r>
      <w:bookmarkEnd w:id="1"/>
      <w:r>
        <w:t xml:space="preserve"> und Ausgangssituation</w:t>
      </w:r>
      <w:bookmarkEnd w:id="2"/>
      <w:bookmarkEnd w:id="3"/>
    </w:p>
    <w:p w14:paraId="52226B89" w14:textId="77777777" w:rsidR="00B54728" w:rsidRDefault="00B54728" w:rsidP="00E9242E"/>
    <w:p w14:paraId="0D844CC0" w14:textId="77777777" w:rsidR="00B54728" w:rsidRDefault="00F66470" w:rsidP="00E9242E">
      <w:r>
        <w:t>Der Kreis Warendorf liegt im Münsterland im Regierungsbezirk Münster im Norden des Landes Nordrhein-Westfalen. Er entstand am 1. Januar 1975 im Zuge der Kreisgebietsreform durch das Münster/Hamm-Gesetz. Einwohnerreichste Stadt des Kreises ist Ahlen, Kreisstadt ist Warendorf.</w:t>
      </w:r>
    </w:p>
    <w:p w14:paraId="27811D65" w14:textId="77777777" w:rsidR="00B54728" w:rsidRDefault="00F66470" w:rsidP="00E9242E">
      <w:r>
        <w:t xml:space="preserve">Der Kreis Warendorf </w:t>
      </w:r>
      <w:bookmarkStart w:id="4" w:name="_Toc458712056"/>
      <w:bookmarkStart w:id="5" w:name="_Toc478128264"/>
      <w:bookmarkStart w:id="6" w:name="_Toc508101345"/>
      <w:r>
        <w:t>schreibt eine Vernetzung seiner Standorte aus. Basis soll ein Layer-2 Netz sein, das alle wichtigen Standorte des Kreises miteinander verbindet. Die Verbindungen werden immer als Punkt-zu-Punkt Verbindungen vom Standort zum Kreishaus realisiert. Die IT des Kreises setzt auf die Layer-2 Verbindungen eigene Remote Access Devices, die dann die Layer-3 Verbindungen zwischen den Standorten herstellen.</w:t>
      </w:r>
    </w:p>
    <w:p w14:paraId="1F5175A6" w14:textId="77777777" w:rsidR="00B54728" w:rsidRDefault="00F66470" w:rsidP="00E9242E">
      <w:r>
        <w:t>Die heutige Vernetzung basiert auf Richtfunk – es sind wenig aktive Glasfaseranbindungen in Betrieb im Bereich der Schulen.</w:t>
      </w:r>
    </w:p>
    <w:p w14:paraId="5A1925F8" w14:textId="6C1F0351" w:rsidR="00F74F1D" w:rsidRPr="00F74F1D" w:rsidRDefault="00F74F1D" w:rsidP="00F74F1D">
      <w:r w:rsidRPr="00F74F1D">
        <w:t>Ab Januar 2027 steht eine zentrale Infrastrukturkomponente der bisherigen Anbindung nicht mehr zur Verfügung. Dadurch entfällt die aktuelle technische Grundlage der Standortvernetzung.</w:t>
      </w:r>
      <w:r>
        <w:t xml:space="preserve"> </w:t>
      </w:r>
      <w:r w:rsidRPr="00F74F1D">
        <w:t>Zur langfristigen Sicherstellung einer zuverlässigen und leistungsfähigen Anbindung aller Standorte wird nun die Standortversorgung auf Basis Glasfaser am Markt angefragt um eine zuverlässige Anbindung der Standorte des Kreises für die Zukunft sicherzustellen.</w:t>
      </w:r>
    </w:p>
    <w:p w14:paraId="131B1F80" w14:textId="123CB03A" w:rsidR="00B54728" w:rsidRDefault="00B54728" w:rsidP="00E9242E"/>
    <w:p w14:paraId="12941BD6" w14:textId="77777777" w:rsidR="00B54728" w:rsidRDefault="00F66470" w:rsidP="00E9242E">
      <w:pPr>
        <w:rPr>
          <w:rFonts w:ascii="Verdana" w:eastAsiaTheme="majorEastAsia" w:hAnsi="Verdana" w:cstheme="majorBidi"/>
          <w:b/>
          <w:sz w:val="24"/>
          <w:szCs w:val="24"/>
        </w:rPr>
      </w:pPr>
      <w:r>
        <w:br w:type="page" w:clear="all"/>
      </w:r>
      <w:bookmarkStart w:id="7" w:name="_Toc479778473"/>
      <w:bookmarkStart w:id="8" w:name="_Toc508101350"/>
      <w:bookmarkStart w:id="9" w:name="_Hlk479779323"/>
      <w:bookmarkEnd w:id="4"/>
      <w:bookmarkEnd w:id="5"/>
      <w:bookmarkEnd w:id="6"/>
    </w:p>
    <w:p w14:paraId="56FCAC45" w14:textId="77777777" w:rsidR="00B54728" w:rsidRDefault="00F66470" w:rsidP="00E9242E">
      <w:pPr>
        <w:pStyle w:val="berschrift2"/>
      </w:pPr>
      <w:bookmarkStart w:id="10" w:name="_Toc210125632"/>
      <w:r>
        <w:lastRenderedPageBreak/>
        <w:t>Dokumentation und Dokumente</w:t>
      </w:r>
      <w:bookmarkEnd w:id="10"/>
    </w:p>
    <w:p w14:paraId="3669B081" w14:textId="77777777" w:rsidR="00B54728" w:rsidRDefault="00B54728" w:rsidP="00E9242E"/>
    <w:p w14:paraId="0FA50BC0" w14:textId="40A80F8B" w:rsidR="00B54728" w:rsidRDefault="00F66470" w:rsidP="00E9242E">
      <w:r>
        <w:t xml:space="preserve">Es ist eine ausführliche Dokumentation des gesamten Projektes (z. B. Protokolle, Beschreibungen, Anleitungen) zu erstellen und dem Auftraggeber zur Verfügung zu stellen. Die Dokumente werden während des Projektes </w:t>
      </w:r>
      <w:r w:rsidR="00F74F1D">
        <w:t>i</w:t>
      </w:r>
      <w:r w:rsidR="00F74F1D" w:rsidRPr="00F74F1D">
        <w:t xml:space="preserve">n der Cloud-Umgebung </w:t>
      </w:r>
      <w:r>
        <w:t xml:space="preserve"> des Auftraggebers abgelegt. Der Auftragnehmer erhält darauf entsprechenden Zugriff. Die Kennzeichnung des Status (z. B. Entwurf, in Abstimmung, Freigabe) erfolgt im jeweiligen Dokument. </w:t>
      </w:r>
    </w:p>
    <w:p w14:paraId="49C071C8" w14:textId="77777777" w:rsidR="00B54728" w:rsidRDefault="00F66470" w:rsidP="00E9242E">
      <w:r>
        <w:t>Sämtliche Dokumentationen und Arbeitsdokumente (u. a. Arbeitspapiere, Monatsberichte) sind in deutscher Sprache zu verfassen und dem Auftraggeber in digitaler Form (mindestens als PDF oder in gängigen Office Formaten) zu Verfügung zu stellen. Weiterhin hat der Auftragnehmer auf Anforderungen kostenfreie Übersetzungsleistungen anzubieten, sofern nicht deutschsprachige Einzelleistungen von Herstellern erbracht werden.</w:t>
      </w:r>
    </w:p>
    <w:p w14:paraId="76D9E5DC" w14:textId="77777777" w:rsidR="00B54728" w:rsidRDefault="00B54728" w:rsidP="00E9242E"/>
    <w:p w14:paraId="205431D1" w14:textId="77777777" w:rsidR="00B54728" w:rsidRDefault="00F66470" w:rsidP="00E9242E">
      <w:pPr>
        <w:pStyle w:val="berschrift2"/>
        <w:rPr>
          <w:rFonts w:eastAsiaTheme="minorHAnsi"/>
        </w:rPr>
      </w:pPr>
      <w:bookmarkStart w:id="11" w:name="_Toc210125633"/>
      <w:r>
        <w:rPr>
          <w:rFonts w:eastAsiaTheme="minorHAnsi"/>
        </w:rPr>
        <w:t xml:space="preserve">Projektablauf und </w:t>
      </w:r>
      <w:bookmarkEnd w:id="7"/>
      <w:bookmarkEnd w:id="8"/>
      <w:r>
        <w:rPr>
          <w:rFonts w:eastAsiaTheme="minorHAnsi"/>
        </w:rPr>
        <w:t>Zeitplan</w:t>
      </w:r>
      <w:bookmarkEnd w:id="11"/>
    </w:p>
    <w:p w14:paraId="5907F35E" w14:textId="77777777" w:rsidR="00B54728" w:rsidRDefault="00B54728" w:rsidP="00E9242E"/>
    <w:p w14:paraId="21105230" w14:textId="77777777" w:rsidR="00B54728" w:rsidRDefault="00F66470" w:rsidP="00E9242E">
      <w:r>
        <w:t>Grundsätzlich sollen das Projekt und die Migration der einzelnen Standorte kurz nacheinander erfolgen, sobald der zentrale Standort im Kreishaus installiert ist. Der genaue Projektablauf muss nach Auftragsvergabe definiert werden. Vom Auftragnehmer ist eine Projektleiterin/ein Projektleiter zu stellen, die/der das Projekt koordiniert.</w:t>
      </w:r>
    </w:p>
    <w:p w14:paraId="0A2DCAA4" w14:textId="77777777" w:rsidR="00B54728" w:rsidRDefault="00B54728" w:rsidP="00E9242E">
      <w:pPr>
        <w:pStyle w:val="Aufzhlung1"/>
        <w:numPr>
          <w:ilvl w:val="0"/>
          <w:numId w:val="0"/>
        </w:numPr>
        <w:jc w:val="left"/>
        <w:rPr>
          <w:rFonts w:asciiTheme="minorHAnsi" w:hAnsiTheme="minorHAnsi" w:cstheme="minorHAnsi"/>
          <w:szCs w:val="22"/>
        </w:rPr>
      </w:pPr>
    </w:p>
    <w:p w14:paraId="19C3A8D5" w14:textId="77777777" w:rsidR="00B54728" w:rsidRDefault="00F66470" w:rsidP="00E9242E">
      <w:pPr>
        <w:pStyle w:val="berschrift2"/>
        <w:rPr>
          <w:rFonts w:eastAsiaTheme="minorHAnsi"/>
        </w:rPr>
      </w:pPr>
      <w:bookmarkStart w:id="12" w:name="_Toc210125634"/>
      <w:r>
        <w:rPr>
          <w:rFonts w:eastAsiaTheme="minorHAnsi"/>
        </w:rPr>
        <w:t>Flexibilität beim Mengengerüst und Skalierung</w:t>
      </w:r>
      <w:bookmarkEnd w:id="12"/>
    </w:p>
    <w:p w14:paraId="0230B026" w14:textId="77777777" w:rsidR="00B54728" w:rsidRDefault="00B54728" w:rsidP="00E9242E"/>
    <w:p w14:paraId="20E26132" w14:textId="77777777" w:rsidR="00B54728" w:rsidRDefault="00F66470" w:rsidP="00E9242E">
      <w:r>
        <w:t>Grundsätzlich dienen die im Mengengerüst genannten Mengen als geschätzte Abnahmemengen. Es sollten aber innerhalb des Projektes Verschiebungen innerhalb der Bereiche möglich sein, wenn das Gesamtprojektvolumen nicht um mehr als 20 % unterschritten wird. Zusätzliche Lizenzen / Ports / Hardware muss mit der Menge „ein Stück“ skalierbar sein. Es soll in Zukunft möglich sein, die Lösung mit jeweils einzelnen Lizenzen zu erweitern.</w:t>
      </w:r>
    </w:p>
    <w:p w14:paraId="27B78845" w14:textId="77777777" w:rsidR="00B54728" w:rsidRDefault="00B54728" w:rsidP="00E9242E"/>
    <w:p w14:paraId="46F38606" w14:textId="77777777" w:rsidR="00B54728" w:rsidRDefault="00F66470" w:rsidP="00E9242E">
      <w:pPr>
        <w:pStyle w:val="berschrift2"/>
        <w:numPr>
          <w:ilvl w:val="1"/>
          <w:numId w:val="1"/>
        </w:numPr>
        <w:rPr>
          <w:rFonts w:eastAsiaTheme="minorHAnsi"/>
        </w:rPr>
      </w:pPr>
      <w:bookmarkStart w:id="13" w:name="_Toc115191155"/>
      <w:bookmarkStart w:id="14" w:name="_Toc210125635"/>
      <w:r>
        <w:rPr>
          <w:rFonts w:eastAsiaTheme="minorHAnsi"/>
        </w:rPr>
        <w:t>Preisbindung</w:t>
      </w:r>
      <w:bookmarkEnd w:id="13"/>
      <w:bookmarkEnd w:id="14"/>
    </w:p>
    <w:p w14:paraId="07696E8C" w14:textId="77777777" w:rsidR="00B54728" w:rsidRDefault="00F66470" w:rsidP="00E9242E">
      <w:r>
        <w:br/>
        <w:t>Der Auftraggeber fordert eine Preisbindung für die angebotenen Leistungen für die Vertragslaufzeit von 60 Monaten für die im Preisblatt angegebenen Preise für Leitungen und der dazu gehörigen Peripherie.</w:t>
      </w:r>
    </w:p>
    <w:p w14:paraId="72C2A695" w14:textId="77777777" w:rsidR="00B54728" w:rsidRDefault="00F66470" w:rsidP="00E9242E">
      <w:r>
        <w:br/>
        <w:t>Bei den Dienstleistungen muss die Regelung zu den Preissteigerungen nach EVB-IT Dienstleistung gelten, die eine maximale Steigerung von 3 % pro Jahr vorsehen.</w:t>
      </w:r>
      <w:r>
        <w:br/>
      </w:r>
    </w:p>
    <w:p w14:paraId="5A657B1E" w14:textId="22DA6E72" w:rsidR="00B54728" w:rsidRDefault="00F66470" w:rsidP="00E9242E">
      <w:r>
        <w:rPr>
          <w:b/>
          <w:bCs/>
        </w:rPr>
        <w:lastRenderedPageBreak/>
        <w:t>Download-Link:</w:t>
      </w:r>
      <w:r>
        <w:t xml:space="preserve"> EVB-IT Dienstvertrag </w:t>
      </w:r>
      <w:r w:rsidR="005D3E9D">
        <w:t>–</w:t>
      </w:r>
      <w:r>
        <w:t xml:space="preserve"> Langfassung</w:t>
      </w:r>
      <w:r>
        <w:br/>
      </w:r>
      <w:hyperlink r:id="rId11" w:history="1">
        <w:r w:rsidR="005D3E9D" w:rsidRPr="00AD3C22">
          <w:rPr>
            <w:rStyle w:val="Hyperlink"/>
          </w:rPr>
          <w:t>https://www.digitale-verwaltung.de/SharedDocs/downloads/Webs/DV/DE/digitale-loesungen/it-einkauf/evb-it-bvb/basisvertraege/dienstleistungen/dienstvertrag-langfassung.pdf?__blob=publicationFile&amp;v=2</w:t>
        </w:r>
      </w:hyperlink>
      <w:r w:rsidR="005D3E9D">
        <w:t xml:space="preserve"> </w:t>
      </w:r>
    </w:p>
    <w:p w14:paraId="0231075E" w14:textId="77777777" w:rsidR="00B54728" w:rsidRDefault="00F66470" w:rsidP="00E9242E">
      <w:r>
        <w:rPr>
          <w:b/>
          <w:bCs/>
        </w:rPr>
        <w:t>Download-Link:</w:t>
      </w:r>
      <w:r>
        <w:t xml:space="preserve"> EVB-IT </w:t>
      </w:r>
      <w:proofErr w:type="spellStart"/>
      <w:r>
        <w:t>Dienstleistungs</w:t>
      </w:r>
      <w:proofErr w:type="spellEnd"/>
      <w:r>
        <w:t xml:space="preserve"> - AGB</w:t>
      </w:r>
    </w:p>
    <w:p w14:paraId="2DF44FFB" w14:textId="4B284E86" w:rsidR="00B54728" w:rsidRDefault="005D3E9D" w:rsidP="00E9242E">
      <w:hyperlink r:id="rId12" w:history="1">
        <w:r w:rsidRPr="00AD3C22">
          <w:rPr>
            <w:rStyle w:val="Hyperlink"/>
          </w:rPr>
          <w:t>https://www.digitale-verwaltung.de/SharedDocs/downloads/Webs/DV/DE/digitale-loesungen/it-einkauf/evb-it-bvb/basisvertraege/dienstleistungen/dienstleistungs-agb.pdf?__blob=publicationFile&amp;v=2</w:t>
        </w:r>
      </w:hyperlink>
      <w:r>
        <w:t xml:space="preserve"> </w:t>
      </w:r>
    </w:p>
    <w:p w14:paraId="10AD17D2" w14:textId="77777777" w:rsidR="00B54728" w:rsidRDefault="00B54728" w:rsidP="00E9242E"/>
    <w:p w14:paraId="5B779048" w14:textId="77777777" w:rsidR="00B54728" w:rsidRDefault="00B54728" w:rsidP="00E9242E"/>
    <w:p w14:paraId="14E6EE74" w14:textId="77777777" w:rsidR="00B54728" w:rsidRDefault="00F66470" w:rsidP="00E9242E">
      <w:pPr>
        <w:pStyle w:val="berschrift1"/>
      </w:pPr>
      <w:bookmarkStart w:id="15" w:name="_Toc210125636"/>
      <w:r>
        <w:t>IST Situation</w:t>
      </w:r>
      <w:bookmarkEnd w:id="15"/>
      <w:r>
        <w:t xml:space="preserve"> </w:t>
      </w:r>
    </w:p>
    <w:p w14:paraId="7A5698E0" w14:textId="77777777" w:rsidR="00B54728" w:rsidRDefault="00B54728" w:rsidP="00E9242E"/>
    <w:p w14:paraId="287D2DA1" w14:textId="77777777" w:rsidR="00F74F1D" w:rsidRPr="00F74F1D" w:rsidRDefault="00F74F1D" w:rsidP="00F74F1D">
      <w:r w:rsidRPr="00F74F1D">
        <w:t>Die derzeit bestehende Standortvernetzung umfasst alle im Preisblatt aufgeführten Liegenschaften in Warendorf, Ahlen, Beckum sowie weitere Standorte. Die aktuell genutzte Anbindung wird ab Januar 2027 nicht mehr zur Verfügung stehen.</w:t>
      </w:r>
    </w:p>
    <w:p w14:paraId="654C362E" w14:textId="77777777" w:rsidR="00F74F1D" w:rsidRPr="00F74F1D" w:rsidRDefault="00F74F1D" w:rsidP="00F74F1D">
      <w:r w:rsidRPr="00F74F1D">
        <w:t>Innerhalb der Verwaltung werden an mehreren Standorten datenintensive Fachverfahren eingesetzt. Die Arbeitsplätze greifen dabei auf zentral bereitgestellte IT-Dienste zu. Bei einem Ausfall der Standortanbindung ist ein regulärer Dienstbetrieb daher nicht möglich. Aus diesem Grund wird für sämtliche Standorte eine leistungsfähige und ausfallsichere leitungsgebundene Anbindung als zukunftsfähige Infrastruktur vorgesehen.</w:t>
      </w:r>
    </w:p>
    <w:p w14:paraId="6733C72D" w14:textId="393361F0" w:rsidR="00B54728" w:rsidRDefault="00B54728" w:rsidP="00E9242E"/>
    <w:p w14:paraId="486D08A7" w14:textId="77777777" w:rsidR="00B54728" w:rsidRDefault="00B54728" w:rsidP="00E9242E"/>
    <w:p w14:paraId="19F1B973" w14:textId="77777777" w:rsidR="00B54728" w:rsidRDefault="00B54728" w:rsidP="00E9242E">
      <w:pPr>
        <w:rPr>
          <w:i/>
          <w:color w:val="FF0000"/>
        </w:rPr>
      </w:pPr>
    </w:p>
    <w:p w14:paraId="69642EE4" w14:textId="77777777" w:rsidR="00B54728" w:rsidRDefault="00F66470" w:rsidP="00E9242E">
      <w:pPr>
        <w:pStyle w:val="berschrift1"/>
      </w:pPr>
      <w:bookmarkStart w:id="16" w:name="_Toc210125637"/>
      <w:bookmarkStart w:id="17" w:name="_Toc478128281"/>
      <w:bookmarkStart w:id="18" w:name="_Toc508101380"/>
      <w:bookmarkEnd w:id="9"/>
      <w:r>
        <w:t>Anforderungen WAN Verbindungen</w:t>
      </w:r>
      <w:bookmarkEnd w:id="16"/>
    </w:p>
    <w:p w14:paraId="4367D0EC" w14:textId="77777777" w:rsidR="00B54728" w:rsidRDefault="00B54728" w:rsidP="00E9242E"/>
    <w:p w14:paraId="00C6BD63" w14:textId="77777777" w:rsidR="00B54728" w:rsidRDefault="00F66470" w:rsidP="00E9242E">
      <w:bookmarkStart w:id="19" w:name="_Toc396900852"/>
      <w:bookmarkStart w:id="20" w:name="_Toc479778475"/>
      <w:bookmarkStart w:id="21" w:name="_Toc508101361"/>
      <w:r>
        <w:t xml:space="preserve">Die im folgenden beschriebenen Leistungen sind die technischen grundsätzlichen Anforderungen für alle abrufbaren Festnetzanschlüsse. Das bedeutet, es müssen die nachfolgenden technischen Anforderungen durchgängig erfüllt werden. </w:t>
      </w:r>
    </w:p>
    <w:p w14:paraId="635C35A9" w14:textId="77777777" w:rsidR="00B54728" w:rsidRDefault="00B54728" w:rsidP="00E9242E"/>
    <w:p w14:paraId="63838529" w14:textId="77777777" w:rsidR="00B54728" w:rsidRDefault="00F66470" w:rsidP="00E9242E">
      <w:pPr>
        <w:pStyle w:val="berschrift2"/>
      </w:pPr>
      <w:bookmarkStart w:id="22" w:name="_Toc59588017"/>
      <w:bookmarkStart w:id="23" w:name="_Toc291573620"/>
      <w:bookmarkStart w:id="24" w:name="_Toc172295741"/>
      <w:bookmarkStart w:id="25" w:name="_Ref179531657"/>
      <w:bookmarkStart w:id="26" w:name="_Toc180739899"/>
      <w:bookmarkStart w:id="27" w:name="_Toc210125638"/>
      <w:r>
        <w:t xml:space="preserve">Versorgung aller Standorte </w:t>
      </w:r>
      <w:bookmarkEnd w:id="22"/>
      <w:bookmarkEnd w:id="23"/>
      <w:r>
        <w:t>mit Daten</w:t>
      </w:r>
      <w:bookmarkEnd w:id="24"/>
      <w:bookmarkEnd w:id="25"/>
      <w:bookmarkEnd w:id="26"/>
      <w:r>
        <w:t>anbindungen</w:t>
      </w:r>
      <w:bookmarkEnd w:id="27"/>
    </w:p>
    <w:p w14:paraId="4798695C" w14:textId="77777777" w:rsidR="00B54728" w:rsidRDefault="00F66470" w:rsidP="00E9242E">
      <w:r>
        <w:br/>
        <w:t>Der Auftragnehmer muss für die im Preisblatt angegebenen Standorte des Kreises Warendorf in Nordrhein-Westfalen den Zugang zum öffentlichen Festnetz für eine Standortvernetzung bereitstellen.</w:t>
      </w:r>
    </w:p>
    <w:p w14:paraId="3D0EC4BD" w14:textId="77777777" w:rsidR="00B54728" w:rsidRDefault="00F66470" w:rsidP="00E9242E">
      <w:r>
        <w:lastRenderedPageBreak/>
        <w:t>Die Anschlüsse bestehen aus den Komponenten Leitung (Access) und Dienst (Verbindung) auf der Leitung.</w:t>
      </w:r>
    </w:p>
    <w:p w14:paraId="7A9E6A16" w14:textId="77777777" w:rsidR="00B54728" w:rsidRDefault="00F66470" w:rsidP="00E9242E">
      <w:pPr>
        <w:widowControl w:val="0"/>
        <w:spacing w:after="120" w:line="240" w:lineRule="auto"/>
      </w:pPr>
      <w:r>
        <w:t xml:space="preserve">Alle Standorte müssen mit Glasfaser-Leitungen (auch Ü-Wege genannt) angebunden werden. Bei den Standorten, bei denen keine Glasfaser Leitung vorhanden ist, muss eine Glasfaser Leitung durch den Auftragnehmer selbst verlegt oder bei einem </w:t>
      </w:r>
      <w:proofErr w:type="spellStart"/>
      <w:r>
        <w:t>Vorleister</w:t>
      </w:r>
      <w:proofErr w:type="spellEnd"/>
      <w:r>
        <w:t xml:space="preserve"> bestellt werden.</w:t>
      </w:r>
    </w:p>
    <w:p w14:paraId="2A58CF9F" w14:textId="77777777" w:rsidR="00B54728" w:rsidRDefault="00F66470" w:rsidP="00E9242E">
      <w:r>
        <w:t>Die Mindestanforderung an die Übertragungsgeschwindigkeit der Standorte liegt bei 200 Mbit bzw. 1 Gbit/s.</w:t>
      </w:r>
    </w:p>
    <w:p w14:paraId="2C21C388" w14:textId="77777777" w:rsidR="00B54728" w:rsidRDefault="00F66470" w:rsidP="00E9242E">
      <w:r>
        <w:t>Sollten auf Grund der physikalischen Gegebenheiten an einzelnen Standorten die Mindestanforderung nicht realisiert werden können, so kann in Absprache mit dem Auftraggeber davon abgewichen werden.</w:t>
      </w:r>
    </w:p>
    <w:p w14:paraId="2656F7CC" w14:textId="77777777" w:rsidR="00B54728" w:rsidRDefault="00F66470" w:rsidP="00E9242E">
      <w:r>
        <w:t>Die verschiedenen Übertragungsgeschwindigkeiten der Rahmenvertragsleistung, die unter Einhaltung der in dieser Leistungsbeschreibung geforderten Anforderungen angeboten werden müssen, sind im Preisblatt benannt.</w:t>
      </w:r>
    </w:p>
    <w:p w14:paraId="716D1A35" w14:textId="77777777" w:rsidR="00B54728" w:rsidRDefault="00B54728" w:rsidP="00E9242E"/>
    <w:p w14:paraId="01935FF0" w14:textId="77777777" w:rsidR="00B54728" w:rsidRDefault="00F66470" w:rsidP="00E9242E">
      <w:pPr>
        <w:pStyle w:val="berschrift2"/>
      </w:pPr>
      <w:bookmarkStart w:id="28" w:name="_Toc210125639"/>
      <w:bookmarkStart w:id="29" w:name="_Toc175831842"/>
      <w:bookmarkStart w:id="30" w:name="_Toc180739900"/>
      <w:r>
        <w:t>Anforderung an die Layer-2 Anbindung per Glasfaser</w:t>
      </w:r>
      <w:bookmarkEnd w:id="28"/>
    </w:p>
    <w:p w14:paraId="0DD43742" w14:textId="77777777" w:rsidR="00B54728" w:rsidRDefault="00B54728" w:rsidP="00E9242E"/>
    <w:p w14:paraId="215893E1" w14:textId="77777777" w:rsidR="00B54728" w:rsidRDefault="00F66470" w:rsidP="00E9242E">
      <w:r>
        <w:t>Die Anbindung muss über eine physikalische Glasfaser erfolgen. Hierbei muss der Auftraggeber die Standorte aus dem Preisblatt jeweils mit einer Punkt-zu-Punkt (Punkt-zu-Punkt) Ethernet Verbindung zum Kreishaus verbinden. Die Leitungen sollen in Anlehnung an die Vorgaben des Metro Ethernet Forum (MEF) realisiert werden.</w:t>
      </w:r>
    </w:p>
    <w:p w14:paraId="5E2DE6DB" w14:textId="7CE8DB00" w:rsidR="00B54728" w:rsidRDefault="00F66470" w:rsidP="00E9242E">
      <w:r>
        <w:t>Die Anforderungen an die Bandbreiten liegen im Bereich 200 Mbit</w:t>
      </w:r>
      <w:r w:rsidR="00F74F1D">
        <w:t xml:space="preserve"> </w:t>
      </w:r>
      <w:r>
        <w:t>/s bis 10 Gbit /s – jeweils symmetrisch nutzbar und in beiden Richtungen (Senden / Empfangen) gleichzeitig.</w:t>
      </w:r>
    </w:p>
    <w:p w14:paraId="21FE4606" w14:textId="77777777" w:rsidR="00B54728" w:rsidRDefault="00F66470" w:rsidP="00E9242E">
      <w:r>
        <w:t>Die Basis der Leitungsanbindung muss bei allen Bandbreiten Glasfaser sein. Die Basis Leitung für Bandbreiten unter 1 Gbit muss dann zwingend eine 1 Gbit Anbindung sein.</w:t>
      </w:r>
    </w:p>
    <w:p w14:paraId="32D129E6" w14:textId="77777777" w:rsidR="00B54728" w:rsidRDefault="00F66470" w:rsidP="00E9242E">
      <w:r>
        <w:t>Der Auftraggeber geht davon aus, dass die zentrale Anbindung im Kreishaus nicht überbucht werden kann. Die Summen der Bandbreiten ergibt heute ca. 12 Gbit so dass sich daraus eine Anbindung des Kreishauses mit 2 x 10 Gbit ergibt.</w:t>
      </w:r>
    </w:p>
    <w:p w14:paraId="1D412E9B" w14:textId="77777777" w:rsidR="00B54728" w:rsidRDefault="00F66470" w:rsidP="00E9242E">
      <w:r>
        <w:t>Bei einem Dienst auf der Leitung kann die Layer 2 Frame Size zwischen 64 Byte und 1590 Byte betragen. Bei den EVC Punkt-zu-Punkt größer als 1 Gbit 64 Byte und 9018 Byte betragen. Die maximale MTU Size beträgt 9000 Byte. Vom Auftraggeber können die VLAN-</w:t>
      </w:r>
      <w:proofErr w:type="spellStart"/>
      <w:r>
        <w:t>ID´s</w:t>
      </w:r>
      <w:proofErr w:type="spellEnd"/>
      <w:r>
        <w:t xml:space="preserve"> 1 bis 4094 benutzt werden.</w:t>
      </w:r>
    </w:p>
    <w:p w14:paraId="68A59FD0" w14:textId="77777777" w:rsidR="00B54728" w:rsidRDefault="00F66470" w:rsidP="00E9242E">
      <w:pPr>
        <w:rPr>
          <w:iCs/>
          <w:color w:val="FF0000"/>
        </w:rPr>
      </w:pPr>
      <w:r>
        <w:t xml:space="preserve">Auf den Leitungen müssen dann verschiedene virtuelle Verbindungen zwischen den Standorten geschaltet werden. </w:t>
      </w:r>
    </w:p>
    <w:p w14:paraId="34F0CE8C" w14:textId="77777777" w:rsidR="00B54728" w:rsidRDefault="00B54728" w:rsidP="00E9242E">
      <w:pPr>
        <w:rPr>
          <w:iCs/>
          <w:color w:val="FF0000"/>
        </w:rPr>
      </w:pPr>
    </w:p>
    <w:p w14:paraId="5E19CB79" w14:textId="77777777" w:rsidR="00F74F1D" w:rsidRDefault="00F74F1D" w:rsidP="00E9242E">
      <w:pPr>
        <w:rPr>
          <w:iCs/>
          <w:color w:val="FF0000"/>
        </w:rPr>
      </w:pPr>
    </w:p>
    <w:p w14:paraId="15309E7D" w14:textId="77777777" w:rsidR="00B54728" w:rsidRDefault="00F66470" w:rsidP="00E9242E">
      <w:pPr>
        <w:pStyle w:val="berschrift3"/>
      </w:pPr>
      <w:bookmarkStart w:id="31" w:name="_Toc210125640"/>
      <w:r>
        <w:lastRenderedPageBreak/>
        <w:t>Ethernet Virtual Connection (EVC) – logische Verbindungen</w:t>
      </w:r>
      <w:bookmarkEnd w:id="31"/>
      <w:r>
        <w:t xml:space="preserve"> </w:t>
      </w:r>
    </w:p>
    <w:p w14:paraId="053CDBC9" w14:textId="77777777" w:rsidR="00B54728" w:rsidRDefault="00B54728" w:rsidP="00E9242E"/>
    <w:p w14:paraId="0AC84E3E" w14:textId="77777777" w:rsidR="00B54728" w:rsidRDefault="00F66470" w:rsidP="00E9242E">
      <w:r>
        <w:t xml:space="preserve">Zwischen den Standorten muss folgender Typ von logischen Verbindungen auf den physikalischen Abschluss-Ports einer Leitung nach Kundenwunsch geschaltet werden. </w:t>
      </w:r>
    </w:p>
    <w:p w14:paraId="416E580C" w14:textId="77777777" w:rsidR="00B54728" w:rsidRDefault="00B54728" w:rsidP="00E9242E"/>
    <w:p w14:paraId="41348EB0" w14:textId="77777777" w:rsidR="00B54728" w:rsidRDefault="00F66470" w:rsidP="00E9242E">
      <w:pPr>
        <w:pStyle w:val="berschrift3"/>
      </w:pPr>
      <w:bookmarkStart w:id="32" w:name="_Toc210125641"/>
      <w:r>
        <w:t>Virtuelle EVPL (Ethernet Virtuell Private Line) virtuelle logische Verbindung</w:t>
      </w:r>
      <w:bookmarkEnd w:id="32"/>
      <w:r>
        <w:t xml:space="preserve"> </w:t>
      </w:r>
    </w:p>
    <w:p w14:paraId="1852D6F9" w14:textId="77777777" w:rsidR="00B54728" w:rsidRDefault="00B54728" w:rsidP="00E9242E"/>
    <w:p w14:paraId="3D0DCA8D" w14:textId="77777777" w:rsidR="00B54728" w:rsidRDefault="00F66470" w:rsidP="00E9242E">
      <w:r>
        <w:t>Bei dieser logischen Verbindung werden mehrere logische Verbindungen pro physikalischem Netzwerk Port am Abschlussgerät definiert bzw. zusammengeschaltet. (Typischerweise an der Zentrale – hier dem Standort des Kreishauses).</w:t>
      </w:r>
    </w:p>
    <w:p w14:paraId="5520509F" w14:textId="77777777" w:rsidR="00B54728" w:rsidRDefault="00F66470" w:rsidP="00E9242E">
      <w:r>
        <w:t xml:space="preserve">Es müssen für Verbindungen zu den Standorten Bandbreiten mit 200 Mbit, 1 Gbit, 2 Gbit, 4 Gbit, 6 </w:t>
      </w:r>
      <w:proofErr w:type="spellStart"/>
      <w:r>
        <w:t>GBit</w:t>
      </w:r>
      <w:proofErr w:type="spellEnd"/>
      <w:r>
        <w:t xml:space="preserve"> und dabei mindestens 10 logische Verbindungen pro physikalischem Port mit 10 Gbit möglich sein. (Also z.B. 4 x 1 </w:t>
      </w:r>
      <w:proofErr w:type="spellStart"/>
      <w:r>
        <w:t>GBit</w:t>
      </w:r>
      <w:proofErr w:type="spellEnd"/>
      <w:r>
        <w:t xml:space="preserve">, 1 x 2 Gbit und 1 x 4 </w:t>
      </w:r>
      <w:proofErr w:type="spellStart"/>
      <w:r>
        <w:t>GBit</w:t>
      </w:r>
      <w:proofErr w:type="spellEnd"/>
      <w:r>
        <w:t xml:space="preserve"> Bandbreite zu den Standorten = 10 GB Gesamtbandbreite an zentralem Anschluss)</w:t>
      </w:r>
    </w:p>
    <w:p w14:paraId="53C1D5F4" w14:textId="77777777" w:rsidR="00B54728" w:rsidRDefault="00B54728" w:rsidP="00E9242E">
      <w:pPr>
        <w:rPr>
          <w:i/>
          <w:color w:val="FF0000"/>
        </w:rPr>
      </w:pPr>
    </w:p>
    <w:p w14:paraId="4E39C496" w14:textId="77777777" w:rsidR="00B54728" w:rsidRDefault="00F66470" w:rsidP="00E9242E">
      <w:pPr>
        <w:pStyle w:val="berschrift3"/>
      </w:pPr>
      <w:bookmarkStart w:id="33" w:name="_Toc210125642"/>
      <w:r>
        <w:t>Netzabschlussgeräte &lt; 1 Gbit, 1 Gbit</w:t>
      </w:r>
      <w:bookmarkEnd w:id="33"/>
    </w:p>
    <w:p w14:paraId="19378B42" w14:textId="77777777" w:rsidR="00B54728" w:rsidRDefault="00B54728" w:rsidP="00E9242E"/>
    <w:p w14:paraId="02E61183" w14:textId="77777777" w:rsidR="00B54728" w:rsidRDefault="00F66470" w:rsidP="00E9242E">
      <w:r>
        <w:t>Abschlussgerät an die Layer 2 Glasfaserverbindung des Auftragnehmers. 19 Zoll Gerät mit 230 Volt Spannungsversorgung. Auf Kundenseite mit folgenden Ports:</w:t>
      </w:r>
    </w:p>
    <w:p w14:paraId="4F3A7A59" w14:textId="77777777" w:rsidR="00B54728" w:rsidRDefault="00F66470" w:rsidP="00E9242E">
      <w:r>
        <w:t>4 x 1 Gbit Ethernet-Schnittstellen auf Kupfer Basis RJ45 IEEE 802.3 oder Basis SFP Glasfaser Ports</w:t>
      </w:r>
    </w:p>
    <w:p w14:paraId="1174852C" w14:textId="77777777" w:rsidR="00B54728" w:rsidRDefault="00B54728" w:rsidP="00E9242E"/>
    <w:p w14:paraId="3E25B57D" w14:textId="77777777" w:rsidR="00B54728" w:rsidRDefault="00F66470" w:rsidP="00E9242E">
      <w:pPr>
        <w:pStyle w:val="berschrift3"/>
      </w:pPr>
      <w:bookmarkStart w:id="34" w:name="_Toc210125643"/>
      <w:r>
        <w:t>Netzabschlussgeräte 2 Gbit, 4 Gbit, 10 Gbit</w:t>
      </w:r>
      <w:bookmarkEnd w:id="34"/>
      <w:r>
        <w:br/>
      </w:r>
    </w:p>
    <w:p w14:paraId="47B04158" w14:textId="77777777" w:rsidR="00B54728" w:rsidRDefault="00F66470" w:rsidP="00E9242E">
      <w:r>
        <w:t>Abschlussgerät an die Layer 2 Glasfaserverbindung des Auftragnehmers. 19 Zoll Gerät mit 230 Volt Spannungsversorgung. Auf Kundenseite mit folgenden Ports:</w:t>
      </w:r>
    </w:p>
    <w:p w14:paraId="4FC7AB01" w14:textId="77777777" w:rsidR="00B54728" w:rsidRDefault="00F66470" w:rsidP="00E9242E">
      <w:r>
        <w:t>10 x 1 Gbit Ethernet-Schnittstellen auf Kupfer Basis RJ45 IEEE 802.3 und SFP-Glasfaser als Kombi Port ausgeführt</w:t>
      </w:r>
    </w:p>
    <w:p w14:paraId="39F81DA1" w14:textId="77777777" w:rsidR="00B54728" w:rsidRDefault="00F66470" w:rsidP="00E9242E">
      <w:r>
        <w:t>2 x 10 Gbit Ethernet-Schnittstellen auf Basis SFP Glasfaser</w:t>
      </w:r>
    </w:p>
    <w:p w14:paraId="7E958246" w14:textId="77777777" w:rsidR="00B54728" w:rsidRDefault="00B54728" w:rsidP="00E9242E"/>
    <w:p w14:paraId="48B3C0FF" w14:textId="77777777" w:rsidR="00B54728" w:rsidRDefault="00F66470" w:rsidP="00E9242E">
      <w:pPr>
        <w:pStyle w:val="berschrift3"/>
      </w:pPr>
      <w:bookmarkStart w:id="35" w:name="_Toc210125644"/>
      <w:r>
        <w:t>Qualitätsparameter</w:t>
      </w:r>
      <w:bookmarkEnd w:id="29"/>
      <w:bookmarkEnd w:id="30"/>
      <w:bookmarkEnd w:id="35"/>
    </w:p>
    <w:p w14:paraId="32FFE35C" w14:textId="77777777" w:rsidR="00B54728" w:rsidRDefault="00B54728" w:rsidP="00E9242E"/>
    <w:p w14:paraId="1DC20968" w14:textId="77777777" w:rsidR="00B54728" w:rsidRDefault="00F66470" w:rsidP="00E9242E">
      <w:r>
        <w:t xml:space="preserve">Der Auftragnehmer muss verschiedene Konfigurationen der Qualitätsparameter (Class </w:t>
      </w:r>
      <w:proofErr w:type="spellStart"/>
      <w:r>
        <w:t>of</w:t>
      </w:r>
      <w:proofErr w:type="spellEnd"/>
      <w:r>
        <w:t xml:space="preserve"> Service = Service-Stufen) der Anschlüsse anbieten und für den Auftraggeber auf den Verbindungen ohne zusätzliche Kosten auf Wunsch konfigurieren.</w:t>
      </w:r>
    </w:p>
    <w:tbl>
      <w:tblPr>
        <w:tblStyle w:val="Tabellenraster"/>
        <w:tblW w:w="9215" w:type="dxa"/>
        <w:tblLayout w:type="fixed"/>
        <w:tblLook w:val="04A0" w:firstRow="1" w:lastRow="0" w:firstColumn="1" w:lastColumn="0" w:noHBand="0" w:noVBand="1"/>
      </w:tblPr>
      <w:tblGrid>
        <w:gridCol w:w="1308"/>
        <w:gridCol w:w="1355"/>
        <w:gridCol w:w="1355"/>
        <w:gridCol w:w="2549"/>
        <w:gridCol w:w="2648"/>
      </w:tblGrid>
      <w:tr w:rsidR="00B54728" w14:paraId="12F96FCD" w14:textId="77777777">
        <w:tc>
          <w:tcPr>
            <w:tcW w:w="1308" w:type="dxa"/>
          </w:tcPr>
          <w:p w14:paraId="37EF8B1C" w14:textId="77777777" w:rsidR="00B54728" w:rsidRDefault="00F66470" w:rsidP="00E9242E">
            <w:pPr>
              <w:spacing w:after="240"/>
              <w:rPr>
                <w:rFonts w:cs="Calibri"/>
                <w:lang w:val="en-US"/>
              </w:rPr>
            </w:pPr>
            <w:r>
              <w:rPr>
                <w:rFonts w:cs="Calibri"/>
                <w:lang w:val="en-US"/>
              </w:rPr>
              <w:lastRenderedPageBreak/>
              <w:t xml:space="preserve">Class of Service / </w:t>
            </w:r>
            <w:proofErr w:type="spellStart"/>
            <w:r>
              <w:rPr>
                <w:rFonts w:cs="Calibri"/>
                <w:lang w:val="en-US"/>
              </w:rPr>
              <w:t>Servicestufe</w:t>
            </w:r>
            <w:proofErr w:type="spellEnd"/>
          </w:p>
        </w:tc>
        <w:tc>
          <w:tcPr>
            <w:tcW w:w="1355" w:type="dxa"/>
          </w:tcPr>
          <w:p w14:paraId="7BB89114" w14:textId="77777777" w:rsidR="00B54728" w:rsidRDefault="00F66470" w:rsidP="00E9242E">
            <w:pPr>
              <w:spacing w:after="240"/>
              <w:rPr>
                <w:rFonts w:cs="Calibri"/>
              </w:rPr>
            </w:pPr>
            <w:proofErr w:type="spellStart"/>
            <w:r>
              <w:rPr>
                <w:rFonts w:cs="Calibri"/>
              </w:rPr>
              <w:t>typical</w:t>
            </w:r>
            <w:proofErr w:type="spellEnd"/>
            <w:r>
              <w:rPr>
                <w:rFonts w:cs="Calibri"/>
              </w:rPr>
              <w:t xml:space="preserve"> </w:t>
            </w:r>
            <w:proofErr w:type="spellStart"/>
            <w:r>
              <w:rPr>
                <w:rFonts w:cs="Calibri"/>
              </w:rPr>
              <w:t>delay</w:t>
            </w:r>
            <w:proofErr w:type="spellEnd"/>
            <w:r>
              <w:rPr>
                <w:rFonts w:cs="Calibri"/>
              </w:rPr>
              <w:t xml:space="preserve"> / Typische Verzögerung</w:t>
            </w:r>
          </w:p>
        </w:tc>
        <w:tc>
          <w:tcPr>
            <w:tcW w:w="1355" w:type="dxa"/>
          </w:tcPr>
          <w:p w14:paraId="72A29949" w14:textId="77777777" w:rsidR="00B54728" w:rsidRDefault="00F66470" w:rsidP="00E9242E">
            <w:pPr>
              <w:spacing w:after="240"/>
              <w:rPr>
                <w:rFonts w:cs="Calibri"/>
              </w:rPr>
            </w:pPr>
            <w:r>
              <w:rPr>
                <w:rFonts w:cs="Calibri"/>
              </w:rPr>
              <w:t xml:space="preserve">max. </w:t>
            </w:r>
            <w:proofErr w:type="spellStart"/>
            <w:r>
              <w:rPr>
                <w:rFonts w:cs="Calibri"/>
              </w:rPr>
              <w:t>delay</w:t>
            </w:r>
            <w:proofErr w:type="spellEnd"/>
            <w:r>
              <w:rPr>
                <w:rFonts w:cs="Calibri"/>
              </w:rPr>
              <w:t xml:space="preserve"> / Maximale Verzögerung</w:t>
            </w:r>
          </w:p>
        </w:tc>
        <w:tc>
          <w:tcPr>
            <w:tcW w:w="2549" w:type="dxa"/>
          </w:tcPr>
          <w:p w14:paraId="62DF6A72" w14:textId="77777777" w:rsidR="00B54728" w:rsidRDefault="00F66470" w:rsidP="00E9242E">
            <w:pPr>
              <w:spacing w:after="240"/>
              <w:rPr>
                <w:rFonts w:cs="Calibri"/>
              </w:rPr>
            </w:pPr>
            <w:proofErr w:type="spellStart"/>
            <w:r>
              <w:rPr>
                <w:rFonts w:cs="Calibri"/>
              </w:rPr>
              <w:t>delay</w:t>
            </w:r>
            <w:proofErr w:type="spellEnd"/>
            <w:r>
              <w:rPr>
                <w:rFonts w:cs="Calibri"/>
              </w:rPr>
              <w:t xml:space="preserve"> </w:t>
            </w:r>
            <w:proofErr w:type="spellStart"/>
            <w:r>
              <w:rPr>
                <w:rFonts w:cs="Calibri"/>
              </w:rPr>
              <w:t>variation</w:t>
            </w:r>
            <w:proofErr w:type="spellEnd"/>
            <w:r>
              <w:rPr>
                <w:rFonts w:cs="Calibri"/>
              </w:rPr>
              <w:t xml:space="preserve"> / Verzögerungsschwankung</w:t>
            </w:r>
          </w:p>
        </w:tc>
        <w:tc>
          <w:tcPr>
            <w:tcW w:w="2648" w:type="dxa"/>
          </w:tcPr>
          <w:p w14:paraId="30038B08" w14:textId="77777777" w:rsidR="00B54728" w:rsidRDefault="00F66470" w:rsidP="00E9242E">
            <w:pPr>
              <w:spacing w:after="240"/>
              <w:rPr>
                <w:rFonts w:cs="Calibri"/>
              </w:rPr>
            </w:pPr>
            <w:proofErr w:type="spellStart"/>
            <w:r>
              <w:rPr>
                <w:rFonts w:cs="Calibri"/>
              </w:rPr>
              <w:t>loss</w:t>
            </w:r>
            <w:proofErr w:type="spellEnd"/>
            <w:r>
              <w:rPr>
                <w:rFonts w:cs="Calibri"/>
              </w:rPr>
              <w:t xml:space="preserve"> </w:t>
            </w:r>
            <w:proofErr w:type="spellStart"/>
            <w:r>
              <w:rPr>
                <w:rFonts w:cs="Calibri"/>
              </w:rPr>
              <w:t>ratio</w:t>
            </w:r>
            <w:proofErr w:type="spellEnd"/>
            <w:r>
              <w:rPr>
                <w:rFonts w:cs="Calibri"/>
              </w:rPr>
              <w:t xml:space="preserve">/frame </w:t>
            </w:r>
            <w:proofErr w:type="spellStart"/>
            <w:r>
              <w:rPr>
                <w:rFonts w:cs="Calibri"/>
              </w:rPr>
              <w:t>loss</w:t>
            </w:r>
            <w:proofErr w:type="spellEnd"/>
            <w:r>
              <w:rPr>
                <w:rFonts w:cs="Calibri"/>
              </w:rPr>
              <w:t xml:space="preserve">  /  Verlustquote/Frameverlust</w:t>
            </w:r>
          </w:p>
        </w:tc>
      </w:tr>
      <w:tr w:rsidR="00B54728" w14:paraId="40C1A407" w14:textId="77777777">
        <w:tc>
          <w:tcPr>
            <w:tcW w:w="1308" w:type="dxa"/>
          </w:tcPr>
          <w:p w14:paraId="0642C04D" w14:textId="77777777" w:rsidR="00B54728" w:rsidRDefault="00F66470" w:rsidP="00E9242E">
            <w:pPr>
              <w:spacing w:after="240"/>
              <w:rPr>
                <w:rFonts w:cs="Calibri"/>
              </w:rPr>
            </w:pPr>
            <w:r>
              <w:rPr>
                <w:rFonts w:cs="Calibri"/>
              </w:rPr>
              <w:t>Premium / Gold</w:t>
            </w:r>
          </w:p>
        </w:tc>
        <w:tc>
          <w:tcPr>
            <w:tcW w:w="1355" w:type="dxa"/>
          </w:tcPr>
          <w:p w14:paraId="49D7FF9F" w14:textId="77777777" w:rsidR="00B54728" w:rsidRDefault="00F66470" w:rsidP="00E9242E">
            <w:pPr>
              <w:spacing w:after="240"/>
              <w:rPr>
                <w:rFonts w:cs="Calibri"/>
              </w:rPr>
            </w:pPr>
            <w:r>
              <w:rPr>
                <w:rFonts w:cs="Calibri"/>
              </w:rPr>
              <w:t xml:space="preserve">10 </w:t>
            </w:r>
            <w:proofErr w:type="spellStart"/>
            <w:r>
              <w:rPr>
                <w:rFonts w:cs="Calibri"/>
              </w:rPr>
              <w:t>ms</w:t>
            </w:r>
            <w:proofErr w:type="spellEnd"/>
          </w:p>
        </w:tc>
        <w:tc>
          <w:tcPr>
            <w:tcW w:w="1355" w:type="dxa"/>
          </w:tcPr>
          <w:p w14:paraId="7E7652B2" w14:textId="77777777" w:rsidR="00B54728" w:rsidRDefault="00F66470" w:rsidP="00E9242E">
            <w:pPr>
              <w:spacing w:after="240"/>
              <w:rPr>
                <w:rFonts w:cs="Calibri"/>
              </w:rPr>
            </w:pPr>
            <w:r>
              <w:rPr>
                <w:rFonts w:cs="Calibri"/>
              </w:rPr>
              <w:t xml:space="preserve">21 </w:t>
            </w:r>
            <w:proofErr w:type="spellStart"/>
            <w:r>
              <w:rPr>
                <w:rFonts w:cs="Calibri"/>
              </w:rPr>
              <w:t>ms</w:t>
            </w:r>
            <w:proofErr w:type="spellEnd"/>
          </w:p>
        </w:tc>
        <w:tc>
          <w:tcPr>
            <w:tcW w:w="2549" w:type="dxa"/>
          </w:tcPr>
          <w:p w14:paraId="1C4F7200" w14:textId="77777777" w:rsidR="00B54728" w:rsidRDefault="00F66470" w:rsidP="00E9242E">
            <w:pPr>
              <w:spacing w:after="240"/>
              <w:rPr>
                <w:rFonts w:cs="Calibri"/>
              </w:rPr>
            </w:pPr>
            <w:r>
              <w:rPr>
                <w:rFonts w:cs="Calibri"/>
              </w:rPr>
              <w:t xml:space="preserve">&lt; 3 </w:t>
            </w:r>
            <w:proofErr w:type="spellStart"/>
            <w:r>
              <w:rPr>
                <w:rFonts w:cs="Calibri"/>
              </w:rPr>
              <w:t>ms</w:t>
            </w:r>
            <w:proofErr w:type="spellEnd"/>
          </w:p>
        </w:tc>
        <w:tc>
          <w:tcPr>
            <w:tcW w:w="2648" w:type="dxa"/>
          </w:tcPr>
          <w:p w14:paraId="2ED51CE1" w14:textId="77777777" w:rsidR="00B54728" w:rsidRDefault="00F66470" w:rsidP="00E9242E">
            <w:pPr>
              <w:spacing w:after="240"/>
              <w:rPr>
                <w:rFonts w:cs="Calibri"/>
              </w:rPr>
            </w:pPr>
            <w:r>
              <w:rPr>
                <w:rFonts w:cs="Calibri"/>
              </w:rPr>
              <w:t>&lt;= 0,1%</w:t>
            </w:r>
          </w:p>
        </w:tc>
      </w:tr>
      <w:tr w:rsidR="00B54728" w14:paraId="6406D71A" w14:textId="77777777">
        <w:tc>
          <w:tcPr>
            <w:tcW w:w="1308" w:type="dxa"/>
          </w:tcPr>
          <w:p w14:paraId="5FBE7489" w14:textId="77777777" w:rsidR="00B54728" w:rsidRDefault="00F66470" w:rsidP="00E9242E">
            <w:pPr>
              <w:spacing w:after="240"/>
              <w:rPr>
                <w:rFonts w:cs="Calibri"/>
              </w:rPr>
            </w:pPr>
            <w:proofErr w:type="spellStart"/>
            <w:r>
              <w:rPr>
                <w:rFonts w:cs="Calibri"/>
              </w:rPr>
              <w:t>Prirority</w:t>
            </w:r>
            <w:proofErr w:type="spellEnd"/>
            <w:r>
              <w:rPr>
                <w:rFonts w:cs="Calibri"/>
              </w:rPr>
              <w:t xml:space="preserve"> / Silber</w:t>
            </w:r>
          </w:p>
        </w:tc>
        <w:tc>
          <w:tcPr>
            <w:tcW w:w="1355" w:type="dxa"/>
          </w:tcPr>
          <w:p w14:paraId="28899D5D" w14:textId="77777777" w:rsidR="00B54728" w:rsidRDefault="00F66470" w:rsidP="00E9242E">
            <w:pPr>
              <w:spacing w:after="240"/>
              <w:rPr>
                <w:rFonts w:cs="Calibri"/>
              </w:rPr>
            </w:pPr>
            <w:r>
              <w:rPr>
                <w:rFonts w:cs="Calibri"/>
              </w:rPr>
              <w:t xml:space="preserve">10 </w:t>
            </w:r>
            <w:proofErr w:type="spellStart"/>
            <w:r>
              <w:rPr>
                <w:rFonts w:cs="Calibri"/>
              </w:rPr>
              <w:t>ms</w:t>
            </w:r>
            <w:proofErr w:type="spellEnd"/>
          </w:p>
        </w:tc>
        <w:tc>
          <w:tcPr>
            <w:tcW w:w="1355" w:type="dxa"/>
          </w:tcPr>
          <w:p w14:paraId="4266BA59" w14:textId="77777777" w:rsidR="00B54728" w:rsidRDefault="00F66470" w:rsidP="00E9242E">
            <w:pPr>
              <w:spacing w:after="240"/>
              <w:rPr>
                <w:rFonts w:cs="Calibri"/>
              </w:rPr>
            </w:pPr>
            <w:r>
              <w:rPr>
                <w:rFonts w:cs="Calibri"/>
              </w:rPr>
              <w:t xml:space="preserve">26 </w:t>
            </w:r>
            <w:proofErr w:type="spellStart"/>
            <w:r>
              <w:rPr>
                <w:rFonts w:cs="Calibri"/>
              </w:rPr>
              <w:t>ms</w:t>
            </w:r>
            <w:proofErr w:type="spellEnd"/>
          </w:p>
        </w:tc>
        <w:tc>
          <w:tcPr>
            <w:tcW w:w="2549" w:type="dxa"/>
          </w:tcPr>
          <w:p w14:paraId="7A07BFB2" w14:textId="77777777" w:rsidR="00B54728" w:rsidRDefault="00F66470" w:rsidP="00E9242E">
            <w:pPr>
              <w:spacing w:after="240"/>
              <w:rPr>
                <w:rFonts w:cs="Calibri"/>
              </w:rPr>
            </w:pPr>
            <w:r>
              <w:rPr>
                <w:rFonts w:cs="Calibri"/>
              </w:rPr>
              <w:t xml:space="preserve">&lt; 5 </w:t>
            </w:r>
            <w:proofErr w:type="spellStart"/>
            <w:r>
              <w:rPr>
                <w:rFonts w:cs="Calibri"/>
              </w:rPr>
              <w:t>ms</w:t>
            </w:r>
            <w:proofErr w:type="spellEnd"/>
          </w:p>
        </w:tc>
        <w:tc>
          <w:tcPr>
            <w:tcW w:w="2648" w:type="dxa"/>
          </w:tcPr>
          <w:p w14:paraId="165207ED" w14:textId="77777777" w:rsidR="00B54728" w:rsidRDefault="00F66470" w:rsidP="00E9242E">
            <w:pPr>
              <w:spacing w:after="240"/>
              <w:rPr>
                <w:rFonts w:cs="Calibri"/>
              </w:rPr>
            </w:pPr>
            <w:r>
              <w:rPr>
                <w:rFonts w:cs="Calibri"/>
              </w:rPr>
              <w:t>&lt;= 0,1%</w:t>
            </w:r>
          </w:p>
        </w:tc>
      </w:tr>
      <w:tr w:rsidR="00B54728" w14:paraId="56BADD2A" w14:textId="77777777">
        <w:tc>
          <w:tcPr>
            <w:tcW w:w="1308" w:type="dxa"/>
          </w:tcPr>
          <w:p w14:paraId="7576EFA3" w14:textId="77777777" w:rsidR="00B54728" w:rsidRDefault="00F66470" w:rsidP="00E9242E">
            <w:pPr>
              <w:spacing w:after="240"/>
              <w:rPr>
                <w:rFonts w:cs="Calibri"/>
              </w:rPr>
            </w:pPr>
            <w:r>
              <w:rPr>
                <w:rFonts w:cs="Calibri"/>
              </w:rPr>
              <w:t>Critical / Bronze</w:t>
            </w:r>
          </w:p>
        </w:tc>
        <w:tc>
          <w:tcPr>
            <w:tcW w:w="1355" w:type="dxa"/>
          </w:tcPr>
          <w:p w14:paraId="6ED42F55" w14:textId="77777777" w:rsidR="00B54728" w:rsidRDefault="00F66470" w:rsidP="00E9242E">
            <w:pPr>
              <w:spacing w:after="240"/>
              <w:rPr>
                <w:rFonts w:cs="Calibri"/>
              </w:rPr>
            </w:pPr>
            <w:r>
              <w:rPr>
                <w:rFonts w:cs="Calibri"/>
              </w:rPr>
              <w:t xml:space="preserve">12 </w:t>
            </w:r>
            <w:proofErr w:type="spellStart"/>
            <w:r>
              <w:rPr>
                <w:rFonts w:cs="Calibri"/>
              </w:rPr>
              <w:t>ms</w:t>
            </w:r>
            <w:proofErr w:type="spellEnd"/>
          </w:p>
        </w:tc>
        <w:tc>
          <w:tcPr>
            <w:tcW w:w="1355" w:type="dxa"/>
          </w:tcPr>
          <w:p w14:paraId="5D28B81A" w14:textId="77777777" w:rsidR="00B54728" w:rsidRDefault="00F66470" w:rsidP="00E9242E">
            <w:pPr>
              <w:spacing w:after="240"/>
              <w:rPr>
                <w:rFonts w:cs="Calibri"/>
              </w:rPr>
            </w:pPr>
            <w:r>
              <w:rPr>
                <w:rFonts w:cs="Calibri"/>
              </w:rPr>
              <w:t xml:space="preserve">45 </w:t>
            </w:r>
            <w:proofErr w:type="spellStart"/>
            <w:r>
              <w:rPr>
                <w:rFonts w:cs="Calibri"/>
              </w:rPr>
              <w:t>ms</w:t>
            </w:r>
            <w:proofErr w:type="spellEnd"/>
          </w:p>
        </w:tc>
        <w:tc>
          <w:tcPr>
            <w:tcW w:w="2549" w:type="dxa"/>
          </w:tcPr>
          <w:p w14:paraId="7E2BB0C2" w14:textId="77777777" w:rsidR="00B54728" w:rsidRDefault="00F66470" w:rsidP="00E9242E">
            <w:pPr>
              <w:spacing w:after="240"/>
              <w:rPr>
                <w:rFonts w:cs="Calibri"/>
              </w:rPr>
            </w:pPr>
            <w:r>
              <w:rPr>
                <w:rFonts w:cs="Calibri"/>
              </w:rPr>
              <w:t xml:space="preserve"> --</w:t>
            </w:r>
          </w:p>
        </w:tc>
        <w:tc>
          <w:tcPr>
            <w:tcW w:w="2648" w:type="dxa"/>
          </w:tcPr>
          <w:p w14:paraId="6D28F138" w14:textId="77777777" w:rsidR="00B54728" w:rsidRDefault="00F66470" w:rsidP="00E9242E">
            <w:pPr>
              <w:spacing w:after="240"/>
              <w:rPr>
                <w:rFonts w:cs="Calibri"/>
              </w:rPr>
            </w:pPr>
            <w:r>
              <w:rPr>
                <w:rFonts w:cs="Calibri"/>
              </w:rPr>
              <w:t>&lt;= 0,01 %</w:t>
            </w:r>
          </w:p>
        </w:tc>
      </w:tr>
      <w:tr w:rsidR="00B54728" w14:paraId="186C77D0" w14:textId="77777777">
        <w:tc>
          <w:tcPr>
            <w:tcW w:w="1308" w:type="dxa"/>
          </w:tcPr>
          <w:p w14:paraId="59C37CC8" w14:textId="77777777" w:rsidR="00B54728" w:rsidRDefault="00F66470" w:rsidP="00E9242E">
            <w:pPr>
              <w:spacing w:after="240"/>
              <w:rPr>
                <w:rFonts w:cs="Calibri"/>
              </w:rPr>
            </w:pPr>
            <w:proofErr w:type="spellStart"/>
            <w:r>
              <w:rPr>
                <w:rFonts w:cs="Calibri"/>
              </w:rPr>
              <w:t>standard</w:t>
            </w:r>
            <w:proofErr w:type="spellEnd"/>
            <w:r>
              <w:rPr>
                <w:rFonts w:cs="Calibri"/>
              </w:rPr>
              <w:t xml:space="preserve"> </w:t>
            </w:r>
            <w:r>
              <w:rPr>
                <w:rFonts w:cs="Calibri"/>
              </w:rPr>
              <w:br/>
            </w:r>
            <w:proofErr w:type="spellStart"/>
            <w:r>
              <w:rPr>
                <w:rFonts w:cs="Calibri"/>
              </w:rPr>
              <w:t>best</w:t>
            </w:r>
            <w:proofErr w:type="spellEnd"/>
            <w:r>
              <w:rPr>
                <w:rFonts w:cs="Calibri"/>
              </w:rPr>
              <w:t xml:space="preserve"> </w:t>
            </w:r>
            <w:proofErr w:type="spellStart"/>
            <w:r>
              <w:rPr>
                <w:rFonts w:cs="Calibri"/>
              </w:rPr>
              <w:t>effort</w:t>
            </w:r>
            <w:proofErr w:type="spellEnd"/>
          </w:p>
        </w:tc>
        <w:tc>
          <w:tcPr>
            <w:tcW w:w="1355" w:type="dxa"/>
          </w:tcPr>
          <w:p w14:paraId="3B96ED68" w14:textId="77777777" w:rsidR="00B54728" w:rsidRDefault="00F66470" w:rsidP="00E9242E">
            <w:pPr>
              <w:spacing w:after="240"/>
              <w:rPr>
                <w:rFonts w:cs="Calibri"/>
              </w:rPr>
            </w:pPr>
            <w:r>
              <w:rPr>
                <w:rFonts w:cs="Calibri"/>
              </w:rPr>
              <w:t xml:space="preserve"> --</w:t>
            </w:r>
          </w:p>
        </w:tc>
        <w:tc>
          <w:tcPr>
            <w:tcW w:w="1355" w:type="dxa"/>
          </w:tcPr>
          <w:p w14:paraId="281E8613" w14:textId="77777777" w:rsidR="00B54728" w:rsidRDefault="00F66470" w:rsidP="00E9242E">
            <w:pPr>
              <w:spacing w:after="240"/>
              <w:rPr>
                <w:rFonts w:cs="Calibri"/>
              </w:rPr>
            </w:pPr>
            <w:r>
              <w:rPr>
                <w:rFonts w:cs="Calibri"/>
              </w:rPr>
              <w:t xml:space="preserve"> --</w:t>
            </w:r>
          </w:p>
        </w:tc>
        <w:tc>
          <w:tcPr>
            <w:tcW w:w="2549" w:type="dxa"/>
          </w:tcPr>
          <w:p w14:paraId="360A51D5" w14:textId="77777777" w:rsidR="00B54728" w:rsidRDefault="00F66470" w:rsidP="00E9242E">
            <w:pPr>
              <w:spacing w:after="240"/>
              <w:rPr>
                <w:rFonts w:cs="Calibri"/>
              </w:rPr>
            </w:pPr>
            <w:r>
              <w:rPr>
                <w:rFonts w:cs="Calibri"/>
              </w:rPr>
              <w:t xml:space="preserve"> --</w:t>
            </w:r>
          </w:p>
        </w:tc>
        <w:tc>
          <w:tcPr>
            <w:tcW w:w="2648" w:type="dxa"/>
          </w:tcPr>
          <w:p w14:paraId="44F2246E" w14:textId="77777777" w:rsidR="00B54728" w:rsidRDefault="00F66470" w:rsidP="00E9242E">
            <w:pPr>
              <w:spacing w:after="240"/>
              <w:rPr>
                <w:rFonts w:cs="Calibri"/>
              </w:rPr>
            </w:pPr>
            <w:r>
              <w:rPr>
                <w:rFonts w:cs="Calibri"/>
              </w:rPr>
              <w:t xml:space="preserve"> --</w:t>
            </w:r>
            <w:bookmarkEnd w:id="17"/>
            <w:bookmarkEnd w:id="18"/>
            <w:bookmarkEnd w:id="19"/>
            <w:bookmarkEnd w:id="20"/>
            <w:bookmarkEnd w:id="21"/>
          </w:p>
        </w:tc>
      </w:tr>
    </w:tbl>
    <w:p w14:paraId="143D36F7" w14:textId="77777777" w:rsidR="00B54728" w:rsidRDefault="00B54728" w:rsidP="00E9242E"/>
    <w:p w14:paraId="0B725163" w14:textId="77777777" w:rsidR="00B54728" w:rsidRDefault="00B54728" w:rsidP="00E9242E"/>
    <w:p w14:paraId="3BA90A86" w14:textId="77777777" w:rsidR="00B54728" w:rsidRDefault="00B54728" w:rsidP="00E9242E"/>
    <w:p w14:paraId="5F057C10" w14:textId="77777777" w:rsidR="00B54728" w:rsidRDefault="00F66470" w:rsidP="00E9242E">
      <w:pPr>
        <w:pStyle w:val="berschrift1"/>
      </w:pPr>
      <w:bookmarkStart w:id="36" w:name="_Toc207187731"/>
      <w:bookmarkStart w:id="37" w:name="_Toc210125645"/>
      <w:r>
        <w:t>Allgemeine Service Anforderungen</w:t>
      </w:r>
      <w:bookmarkEnd w:id="36"/>
      <w:bookmarkEnd w:id="37"/>
    </w:p>
    <w:p w14:paraId="6698751D" w14:textId="77777777" w:rsidR="00286127" w:rsidRPr="00286127" w:rsidRDefault="00286127" w:rsidP="00286127"/>
    <w:p w14:paraId="7075534B" w14:textId="77777777" w:rsidR="00B54728" w:rsidRDefault="00F66470" w:rsidP="00E9242E">
      <w:pPr>
        <w:pStyle w:val="berschrift2"/>
        <w:tabs>
          <w:tab w:val="num" w:pos="851"/>
        </w:tabs>
        <w:spacing w:before="60" w:line="360" w:lineRule="auto"/>
        <w:ind w:left="851" w:hanging="851"/>
      </w:pPr>
      <w:bookmarkStart w:id="38" w:name="_Toc207187738"/>
      <w:bookmarkStart w:id="39" w:name="_Toc210125646"/>
      <w:r>
        <w:t>Service-Dienstleistungen</w:t>
      </w:r>
      <w:bookmarkEnd w:id="38"/>
      <w:bookmarkEnd w:id="39"/>
    </w:p>
    <w:p w14:paraId="60094A26" w14:textId="77777777" w:rsidR="00B54728" w:rsidRDefault="00F66470" w:rsidP="00E9242E">
      <w:r>
        <w:t xml:space="preserve">Die nachfolgenden vom Auftragnehmer geschuldeten Service-Dienstleistungen werden nicht gesondert vergütet und müssen nicht explizit abgerufen werden. </w:t>
      </w:r>
    </w:p>
    <w:p w14:paraId="7A0F3C0D" w14:textId="77777777" w:rsidR="008741D7" w:rsidRDefault="008741D7" w:rsidP="00E9242E"/>
    <w:p w14:paraId="5F6E6ED7" w14:textId="77777777" w:rsidR="00B54728" w:rsidRDefault="00F66470" w:rsidP="00E9242E">
      <w:pPr>
        <w:pStyle w:val="berschrift3"/>
      </w:pPr>
      <w:bookmarkStart w:id="40" w:name="_Toc170461168"/>
      <w:bookmarkStart w:id="41" w:name="_Toc172295735"/>
      <w:bookmarkStart w:id="42" w:name="_Toc207187739"/>
      <w:bookmarkStart w:id="43" w:name="_Toc210125647"/>
      <w:r>
        <w:t>Direkte zentrale Ansprechpartner des Auftragnehmers</w:t>
      </w:r>
      <w:bookmarkEnd w:id="40"/>
      <w:bookmarkEnd w:id="41"/>
      <w:bookmarkEnd w:id="42"/>
      <w:bookmarkEnd w:id="43"/>
    </w:p>
    <w:p w14:paraId="2A9F228C" w14:textId="77777777" w:rsidR="00B54728" w:rsidRDefault="00F66470" w:rsidP="00E9242E">
      <w:bookmarkStart w:id="44" w:name="_Toc170461169"/>
      <w:bookmarkStart w:id="45" w:name="_Toc172295736"/>
      <w:r>
        <w:br/>
        <w:t xml:space="preserve">Sowohl für den </w:t>
      </w:r>
      <w:bookmarkStart w:id="46" w:name="_Hlk169597575"/>
      <w:r>
        <w:t xml:space="preserve">technischen als auch für den kaufmännischen Bereich </w:t>
      </w:r>
      <w:bookmarkEnd w:id="46"/>
      <w:r>
        <w:t>ist vom Auftragnehmer jeweils ein dediziertes Ansprechpartner-Team vorzuhalten.</w:t>
      </w:r>
    </w:p>
    <w:p w14:paraId="35FD12AD" w14:textId="77777777" w:rsidR="00B54728" w:rsidRDefault="00F66470" w:rsidP="00E9242E">
      <w:r>
        <w:t>Der Auftragnehmer muss die Ansprechpartner spätestens 14 Tage nach Vertragsschluss namentlich mit Vertreter benennen und eine Erreichbarkeitsmatrix mit Telefonnummern, Namen und Kontaktadressen zur Verfügung stellen.</w:t>
      </w:r>
    </w:p>
    <w:p w14:paraId="48C24B11" w14:textId="5C067053" w:rsidR="00B54728" w:rsidRDefault="00F66470" w:rsidP="00E9242E">
      <w:r>
        <w:t>Da der Auftraggeber ausschließlich in Deutschland tätig ist, müssen alle Mitarbeiter des Auftragnehmers, die im Kundenkontakt stehen, alle Kommunikation mit Wort und Schrift in deutscher Sprache führen</w:t>
      </w:r>
      <w:r w:rsidR="00F96E8F">
        <w:t>.</w:t>
      </w:r>
    </w:p>
    <w:p w14:paraId="5AB6CFD4" w14:textId="77777777" w:rsidR="00B54728" w:rsidRDefault="00B54728" w:rsidP="00E9242E"/>
    <w:p w14:paraId="324FE5B6" w14:textId="77777777" w:rsidR="00B54728" w:rsidRDefault="00F66470" w:rsidP="00E9242E">
      <w:pPr>
        <w:pStyle w:val="berschrift3"/>
      </w:pPr>
      <w:bookmarkStart w:id="47" w:name="_Ref177459867"/>
      <w:bookmarkStart w:id="48" w:name="_Toc207187740"/>
      <w:bookmarkStart w:id="49" w:name="_Toc210125648"/>
      <w:r>
        <w:t>Service-Team</w:t>
      </w:r>
      <w:bookmarkEnd w:id="44"/>
      <w:bookmarkEnd w:id="45"/>
      <w:bookmarkEnd w:id="47"/>
      <w:bookmarkEnd w:id="48"/>
      <w:bookmarkEnd w:id="49"/>
    </w:p>
    <w:p w14:paraId="3E2C4DF6" w14:textId="77777777" w:rsidR="00B54728" w:rsidRDefault="00F66470" w:rsidP="00E9242E">
      <w:r>
        <w:br/>
        <w:t xml:space="preserve">Für einen definierten Benutzerkreis des Auftraggebers ist ein Team aus festen Ansprechpartnern zur Verfügung zu stellen. Dieses Team ist zuständig für Sonderfragen, Reklamationen, Sonderaufgaben </w:t>
      </w:r>
      <w:r>
        <w:lastRenderedPageBreak/>
        <w:t>und Unterstützung im Tagesgeschäft. Der Auftraggeber geht von ca. 1 - 2 fest definierten Personen aus.</w:t>
      </w:r>
    </w:p>
    <w:p w14:paraId="44B79DD9" w14:textId="77777777" w:rsidR="00B54728" w:rsidRDefault="00F66470" w:rsidP="00E9242E">
      <w:r>
        <w:t>Folgende Service-Level werden werktags von Montag bis Freitag im Zeitraum zwischen 8 und 16 Uhr generell vereinbart:</w:t>
      </w:r>
    </w:p>
    <w:p w14:paraId="532F729C" w14:textId="77777777" w:rsidR="00B54728" w:rsidRDefault="00F66470" w:rsidP="00E9242E">
      <w:pPr>
        <w:widowControl w:val="0"/>
        <w:numPr>
          <w:ilvl w:val="0"/>
          <w:numId w:val="34"/>
        </w:numPr>
        <w:spacing w:after="120" w:line="240" w:lineRule="auto"/>
        <w:ind w:left="426" w:hanging="426"/>
      </w:pPr>
      <w:r>
        <w:t>Bearbeitungszeit bei telefonischen Anfragen: 2 Stunden</w:t>
      </w:r>
    </w:p>
    <w:p w14:paraId="5E4CB046" w14:textId="77777777" w:rsidR="00B54728" w:rsidRDefault="00F66470" w:rsidP="00E9242E">
      <w:pPr>
        <w:widowControl w:val="0"/>
        <w:numPr>
          <w:ilvl w:val="0"/>
          <w:numId w:val="34"/>
        </w:numPr>
        <w:spacing w:after="120" w:line="240" w:lineRule="auto"/>
        <w:ind w:left="426" w:hanging="426"/>
      </w:pPr>
      <w:r>
        <w:t>Bearbeitungszeit bei E-Mail-Anfragen: 8 Stunden</w:t>
      </w:r>
    </w:p>
    <w:p w14:paraId="3F1352F5" w14:textId="77777777" w:rsidR="00B54728" w:rsidRDefault="00F66470" w:rsidP="00E9242E">
      <w:r>
        <w:t>Auch hier muss der Auftragnehmer spätestens 14 Tage nach Vertragsschluss namentlich Vertreter benennen und eine Erreichbarkeitsmatrix zur Verfügung stellen.</w:t>
      </w:r>
    </w:p>
    <w:p w14:paraId="63625F90" w14:textId="77777777" w:rsidR="00B54728" w:rsidRDefault="00F66470" w:rsidP="00E9242E">
      <w:pPr>
        <w:spacing w:after="240"/>
      </w:pPr>
      <w:r>
        <w:t>Die Ansprechpartner des Auftraggebers werden vom Auftraggeber mit Zuschlag benannt.</w:t>
      </w:r>
    </w:p>
    <w:p w14:paraId="68B80F0E" w14:textId="77777777" w:rsidR="00286127" w:rsidRDefault="00286127" w:rsidP="00E9242E">
      <w:pPr>
        <w:spacing w:after="240"/>
      </w:pPr>
    </w:p>
    <w:p w14:paraId="4FF8F9FE" w14:textId="77777777" w:rsidR="00B54728" w:rsidRDefault="00F66470" w:rsidP="00E9242E">
      <w:pPr>
        <w:pStyle w:val="berschrift3"/>
      </w:pPr>
      <w:bookmarkStart w:id="50" w:name="_Toc207187741"/>
      <w:bookmarkStart w:id="51" w:name="_Toc210125649"/>
      <w:bookmarkStart w:id="52" w:name="_Toc170461170"/>
      <w:r>
        <w:t>Proaktives Netzmonitoring</w:t>
      </w:r>
      <w:bookmarkEnd w:id="50"/>
      <w:r>
        <w:t xml:space="preserve"> – nach Standard des Auftragnehmers</w:t>
      </w:r>
      <w:bookmarkEnd w:id="51"/>
    </w:p>
    <w:p w14:paraId="1D9B6795" w14:textId="77777777" w:rsidR="00B54728" w:rsidRDefault="00F66470" w:rsidP="00E9242E">
      <w:r>
        <w:br/>
        <w:t>Der Auftragnehmer schuldet ein proaktives Monitoring über alle abgerufenen Festnetzanschlüsse mit einer automatisierten Info per E-Mail an den Auftraggeber und zusätzliche Ansprechpartner des Auftraggebers bei Einzel-Störungen oder wenn z. B. eine Großstörung in einer Region auftritt, die mindestens 10 Festnetzanschlüsse betrifft.</w:t>
      </w:r>
      <w:bookmarkEnd w:id="52"/>
    </w:p>
    <w:p w14:paraId="6DE17E97" w14:textId="77777777" w:rsidR="00B54728" w:rsidRDefault="00F66470" w:rsidP="00E9242E">
      <w:r>
        <w:br w:type="page" w:clear="all"/>
      </w:r>
    </w:p>
    <w:p w14:paraId="7EC26149" w14:textId="77777777" w:rsidR="00B54728" w:rsidRDefault="00B54728" w:rsidP="00E9242E"/>
    <w:p w14:paraId="021B263C" w14:textId="77777777" w:rsidR="00B54728" w:rsidRDefault="00F66470" w:rsidP="00E9242E">
      <w:pPr>
        <w:pStyle w:val="berschrift1"/>
        <w:tabs>
          <w:tab w:val="num" w:pos="851"/>
        </w:tabs>
        <w:ind w:left="851" w:hanging="851"/>
      </w:pPr>
      <w:bookmarkStart w:id="53" w:name="_Ref175916712"/>
      <w:bookmarkStart w:id="54" w:name="_Toc172295766"/>
      <w:bookmarkStart w:id="55" w:name="_Toc207187751"/>
      <w:bookmarkStart w:id="56" w:name="_Toc210125650"/>
      <w:bookmarkStart w:id="57" w:name="_Toc59588050"/>
      <w:bookmarkStart w:id="58" w:name="_Toc291573663"/>
      <w:r>
        <w:t xml:space="preserve">Betrieb &amp; Service </w:t>
      </w:r>
      <w:bookmarkEnd w:id="53"/>
      <w:bookmarkEnd w:id="54"/>
      <w:r>
        <w:t>für Festnetzanschlüsse und gemietete Festnetzendgeräte</w:t>
      </w:r>
      <w:bookmarkEnd w:id="55"/>
      <w:bookmarkEnd w:id="56"/>
    </w:p>
    <w:p w14:paraId="669670E2" w14:textId="77777777" w:rsidR="00B54728" w:rsidRDefault="00B54728" w:rsidP="00E9242E">
      <w:bookmarkStart w:id="59" w:name="_Hlk176186421"/>
    </w:p>
    <w:p w14:paraId="34758AEF" w14:textId="77777777" w:rsidR="00B54728" w:rsidRDefault="00F66470" w:rsidP="00E9242E">
      <w:r>
        <w:t xml:space="preserve">Der Service für einen zuverlässigen dauerhaften Betrieb ist Bestandteil der Leistung über die Laufzeit des Vertrages, wird mit der Bestellung der entsprechenden Anschlüsse vom Auftragnehmer automatisch für die Anschlüsse aktiviert und nicht gesondert vergütet. </w:t>
      </w:r>
    </w:p>
    <w:p w14:paraId="1C5FD4D5" w14:textId="77777777" w:rsidR="00B54728" w:rsidRDefault="00F66470" w:rsidP="00E9242E">
      <w:r>
        <w:t>Betrieb und Service beziehen sich immer auf die Leitungen und bei Abruf eines Festnetzendgerätes zur Miete ebenfalls auf diese gemieteten Geräte.</w:t>
      </w:r>
    </w:p>
    <w:p w14:paraId="2374B956" w14:textId="77777777" w:rsidR="00B54728" w:rsidRDefault="00F66470" w:rsidP="00E9242E">
      <w:r>
        <w:t>Bei den Festnetzanschlüssen sind alle Kosten in die monatlichen Basispreise einzukalkulieren, bei den Mietgeräten in die monatliche Miete.</w:t>
      </w:r>
      <w:bookmarkEnd w:id="59"/>
    </w:p>
    <w:p w14:paraId="4FF6D66F" w14:textId="77777777" w:rsidR="00B54728" w:rsidRDefault="00B54728" w:rsidP="00E9242E">
      <w:pPr>
        <w:spacing w:after="0"/>
      </w:pPr>
    </w:p>
    <w:p w14:paraId="4B8D3106" w14:textId="77777777" w:rsidR="00B54728" w:rsidRDefault="00F66470" w:rsidP="00E9242E">
      <w:pPr>
        <w:pStyle w:val="berschrift2"/>
        <w:spacing w:before="0"/>
      </w:pPr>
      <w:bookmarkStart w:id="60" w:name="_Ref176357228"/>
      <w:bookmarkStart w:id="61" w:name="_Ref177467937"/>
      <w:bookmarkStart w:id="62" w:name="_Toc207187752"/>
      <w:bookmarkStart w:id="63" w:name="_Toc210125651"/>
      <w:r>
        <w:t>Service-Level-Agreements für Festnetzanschlüsse (Leitungen) inklusive der gemieteten Festnetzendgeräte</w:t>
      </w:r>
      <w:bookmarkEnd w:id="60"/>
      <w:bookmarkEnd w:id="61"/>
      <w:bookmarkEnd w:id="62"/>
      <w:bookmarkEnd w:id="63"/>
    </w:p>
    <w:p w14:paraId="029E7EB6" w14:textId="77777777" w:rsidR="00B54728" w:rsidRDefault="00B54728" w:rsidP="00E9242E"/>
    <w:p w14:paraId="156FC331" w14:textId="77777777" w:rsidR="00B54728" w:rsidRDefault="00F66470" w:rsidP="00E9242E">
      <w:r>
        <w:t xml:space="preserve">Für die Instandsetzung der Anschlüsse inklusive der gemieteten Festnetzendgeräte ist eine Serviceklasse vorgesehen, die Störungsklassen sind gemäß Kapitel </w:t>
      </w:r>
      <w:r>
        <w:fldChar w:fldCharType="begin"/>
      </w:r>
      <w:r>
        <w:instrText xml:space="preserve"> REF _Ref207713302 \r \h </w:instrText>
      </w:r>
      <w:r w:rsidR="00E9242E">
        <w:instrText xml:space="preserve"> \* MERGEFORMAT </w:instrText>
      </w:r>
      <w:r>
        <w:fldChar w:fldCharType="separate"/>
      </w:r>
      <w:r>
        <w:t xml:space="preserve">5.6 </w:t>
      </w:r>
      <w:r>
        <w:fldChar w:fldCharType="end"/>
      </w:r>
      <w:r>
        <w:t>zu beachten:</w:t>
      </w:r>
    </w:p>
    <w:tbl>
      <w:tblPr>
        <w:tblStyle w:val="Tabellenraster"/>
        <w:tblW w:w="0" w:type="auto"/>
        <w:tblLook w:val="04A0" w:firstRow="1" w:lastRow="0" w:firstColumn="1" w:lastColumn="0" w:noHBand="0" w:noVBand="1"/>
      </w:tblPr>
      <w:tblGrid>
        <w:gridCol w:w="2972"/>
        <w:gridCol w:w="1667"/>
      </w:tblGrid>
      <w:tr w:rsidR="00B54728" w14:paraId="3B143B99" w14:textId="77777777">
        <w:tc>
          <w:tcPr>
            <w:tcW w:w="2972" w:type="dxa"/>
          </w:tcPr>
          <w:p w14:paraId="7B9FF5AF" w14:textId="77777777" w:rsidR="00B54728" w:rsidRDefault="00F66470" w:rsidP="00E9242E">
            <w:pPr>
              <w:rPr>
                <w:sz w:val="16"/>
                <w:szCs w:val="16"/>
              </w:rPr>
            </w:pPr>
            <w:r>
              <w:rPr>
                <w:sz w:val="16"/>
                <w:szCs w:val="16"/>
              </w:rPr>
              <w:t>Serviceklasse</w:t>
            </w:r>
          </w:p>
        </w:tc>
        <w:tc>
          <w:tcPr>
            <w:tcW w:w="1667" w:type="dxa"/>
          </w:tcPr>
          <w:p w14:paraId="42A124F9" w14:textId="77777777" w:rsidR="00B54728" w:rsidRDefault="00F66470" w:rsidP="00E9242E">
            <w:pPr>
              <w:rPr>
                <w:sz w:val="16"/>
                <w:szCs w:val="16"/>
              </w:rPr>
            </w:pPr>
            <w:r>
              <w:rPr>
                <w:sz w:val="16"/>
                <w:szCs w:val="16"/>
              </w:rPr>
              <w:t>Premium</w:t>
            </w:r>
          </w:p>
        </w:tc>
      </w:tr>
      <w:tr w:rsidR="00B54728" w14:paraId="40268BC9" w14:textId="77777777">
        <w:tc>
          <w:tcPr>
            <w:tcW w:w="2972" w:type="dxa"/>
          </w:tcPr>
          <w:p w14:paraId="123F3FF1" w14:textId="77777777" w:rsidR="00B54728" w:rsidRDefault="00F66470" w:rsidP="00E9242E">
            <w:pPr>
              <w:rPr>
                <w:sz w:val="16"/>
                <w:szCs w:val="16"/>
              </w:rPr>
            </w:pPr>
            <w:r>
              <w:rPr>
                <w:sz w:val="16"/>
                <w:szCs w:val="16"/>
              </w:rPr>
              <w:t>Gültig für</w:t>
            </w:r>
          </w:p>
        </w:tc>
        <w:tc>
          <w:tcPr>
            <w:tcW w:w="1667" w:type="dxa"/>
          </w:tcPr>
          <w:p w14:paraId="1F84AE7C" w14:textId="77777777" w:rsidR="00B54728" w:rsidRDefault="00F66470" w:rsidP="00E9242E">
            <w:pPr>
              <w:rPr>
                <w:sz w:val="16"/>
                <w:szCs w:val="16"/>
              </w:rPr>
            </w:pPr>
            <w:r>
              <w:rPr>
                <w:sz w:val="16"/>
                <w:szCs w:val="16"/>
              </w:rPr>
              <w:t>Alle Layer 2 Verbindungen</w:t>
            </w:r>
          </w:p>
        </w:tc>
      </w:tr>
      <w:tr w:rsidR="00B54728" w14:paraId="01FBD81C" w14:textId="77777777">
        <w:tc>
          <w:tcPr>
            <w:tcW w:w="2972" w:type="dxa"/>
          </w:tcPr>
          <w:p w14:paraId="21CD7577" w14:textId="77777777" w:rsidR="00B54728" w:rsidRDefault="00F66470" w:rsidP="00E9242E">
            <w:pPr>
              <w:rPr>
                <w:sz w:val="16"/>
                <w:szCs w:val="16"/>
              </w:rPr>
            </w:pPr>
            <w:r>
              <w:rPr>
                <w:sz w:val="16"/>
                <w:szCs w:val="16"/>
              </w:rPr>
              <w:t>Verfügbarkeit der Kommunikationsanschlüsse für die Datenkommunikation pro Kalenderjahr</w:t>
            </w:r>
          </w:p>
        </w:tc>
        <w:tc>
          <w:tcPr>
            <w:tcW w:w="1667" w:type="dxa"/>
          </w:tcPr>
          <w:p w14:paraId="622008BB" w14:textId="77777777" w:rsidR="00B54728" w:rsidRDefault="00F66470" w:rsidP="00E9242E">
            <w:pPr>
              <w:rPr>
                <w:sz w:val="16"/>
                <w:szCs w:val="16"/>
              </w:rPr>
            </w:pPr>
            <w:r>
              <w:rPr>
                <w:sz w:val="16"/>
                <w:szCs w:val="16"/>
              </w:rPr>
              <w:t>99,5%</w:t>
            </w:r>
          </w:p>
        </w:tc>
      </w:tr>
      <w:tr w:rsidR="00B54728" w14:paraId="535935AC" w14:textId="77777777">
        <w:tc>
          <w:tcPr>
            <w:tcW w:w="2972" w:type="dxa"/>
          </w:tcPr>
          <w:p w14:paraId="359E6C69" w14:textId="77777777" w:rsidR="00B54728" w:rsidRDefault="00F66470" w:rsidP="00E9242E">
            <w:pPr>
              <w:rPr>
                <w:sz w:val="16"/>
                <w:szCs w:val="16"/>
              </w:rPr>
            </w:pPr>
            <w:r>
              <w:rPr>
                <w:sz w:val="16"/>
                <w:szCs w:val="16"/>
              </w:rPr>
              <w:t>Störungsannahme</w:t>
            </w:r>
          </w:p>
        </w:tc>
        <w:tc>
          <w:tcPr>
            <w:tcW w:w="1667" w:type="dxa"/>
          </w:tcPr>
          <w:p w14:paraId="19B1C181" w14:textId="77777777" w:rsidR="00B54728" w:rsidRDefault="00F66470" w:rsidP="00E9242E">
            <w:pPr>
              <w:rPr>
                <w:sz w:val="16"/>
                <w:szCs w:val="16"/>
              </w:rPr>
            </w:pPr>
            <w:r>
              <w:rPr>
                <w:sz w:val="16"/>
                <w:szCs w:val="16"/>
              </w:rPr>
              <w:t>24x7</w:t>
            </w:r>
          </w:p>
        </w:tc>
      </w:tr>
      <w:tr w:rsidR="00B54728" w14:paraId="0E43455A" w14:textId="77777777">
        <w:trPr>
          <w:gridAfter w:val="1"/>
          <w:wAfter w:w="1667" w:type="dxa"/>
        </w:trPr>
        <w:tc>
          <w:tcPr>
            <w:tcW w:w="2972" w:type="dxa"/>
          </w:tcPr>
          <w:p w14:paraId="206CF016" w14:textId="77777777" w:rsidR="00B54728" w:rsidRDefault="00F66470" w:rsidP="00E9242E">
            <w:pPr>
              <w:rPr>
                <w:sz w:val="16"/>
                <w:szCs w:val="16"/>
              </w:rPr>
            </w:pPr>
            <w:r>
              <w:rPr>
                <w:sz w:val="16"/>
                <w:szCs w:val="16"/>
              </w:rPr>
              <w:t>Enthält Hardware Service bei Netzabschlussgeräten</w:t>
            </w:r>
          </w:p>
        </w:tc>
      </w:tr>
      <w:tr w:rsidR="00B54728" w14:paraId="1D866427" w14:textId="77777777">
        <w:tc>
          <w:tcPr>
            <w:tcW w:w="2972" w:type="dxa"/>
          </w:tcPr>
          <w:p w14:paraId="45C83A81" w14:textId="77777777" w:rsidR="00B54728" w:rsidRDefault="00F66470" w:rsidP="00E9242E">
            <w:pPr>
              <w:rPr>
                <w:sz w:val="16"/>
                <w:szCs w:val="16"/>
              </w:rPr>
            </w:pPr>
            <w:proofErr w:type="spellStart"/>
            <w:r>
              <w:rPr>
                <w:sz w:val="16"/>
                <w:szCs w:val="16"/>
              </w:rPr>
              <w:t>Entstörzeit</w:t>
            </w:r>
            <w:proofErr w:type="spellEnd"/>
            <w:r>
              <w:rPr>
                <w:sz w:val="16"/>
                <w:szCs w:val="16"/>
              </w:rPr>
              <w:t xml:space="preserve"> Störungsklasse 1 und 2</w:t>
            </w:r>
          </w:p>
        </w:tc>
        <w:tc>
          <w:tcPr>
            <w:tcW w:w="1667" w:type="dxa"/>
          </w:tcPr>
          <w:p w14:paraId="2D79322B" w14:textId="77777777" w:rsidR="00B54728" w:rsidRDefault="00F66470" w:rsidP="00E9242E">
            <w:pPr>
              <w:rPr>
                <w:sz w:val="16"/>
                <w:szCs w:val="16"/>
              </w:rPr>
            </w:pPr>
            <w:r>
              <w:rPr>
                <w:sz w:val="16"/>
                <w:szCs w:val="16"/>
              </w:rPr>
              <w:t>innerhalb 8h</w:t>
            </w:r>
          </w:p>
        </w:tc>
      </w:tr>
      <w:tr w:rsidR="00B54728" w14:paraId="53F75811" w14:textId="77777777">
        <w:tc>
          <w:tcPr>
            <w:tcW w:w="2972" w:type="dxa"/>
          </w:tcPr>
          <w:p w14:paraId="47BCFF6A" w14:textId="77777777" w:rsidR="00B54728" w:rsidRDefault="00F66470" w:rsidP="00E9242E">
            <w:pPr>
              <w:rPr>
                <w:sz w:val="16"/>
                <w:szCs w:val="16"/>
              </w:rPr>
            </w:pPr>
            <w:r>
              <w:rPr>
                <w:sz w:val="16"/>
                <w:szCs w:val="16"/>
              </w:rPr>
              <w:t>Erste Rückmeldung Störungsklasse 1 und 2</w:t>
            </w:r>
          </w:p>
        </w:tc>
        <w:tc>
          <w:tcPr>
            <w:tcW w:w="1667" w:type="dxa"/>
          </w:tcPr>
          <w:p w14:paraId="389F57C8" w14:textId="77777777" w:rsidR="00B54728" w:rsidRDefault="00F66470" w:rsidP="00E9242E">
            <w:pPr>
              <w:rPr>
                <w:sz w:val="16"/>
                <w:szCs w:val="16"/>
              </w:rPr>
            </w:pPr>
            <w:r>
              <w:rPr>
                <w:sz w:val="16"/>
                <w:szCs w:val="16"/>
              </w:rPr>
              <w:t>1h</w:t>
            </w:r>
          </w:p>
        </w:tc>
      </w:tr>
    </w:tbl>
    <w:p w14:paraId="52FA57CC" w14:textId="77777777" w:rsidR="00B54728" w:rsidRDefault="00B54728" w:rsidP="00E9242E">
      <w:pPr>
        <w:rPr>
          <w:iCs/>
          <w:color w:val="FF0000"/>
        </w:rPr>
      </w:pPr>
      <w:bookmarkStart w:id="64" w:name="_Toc172295768"/>
      <w:bookmarkStart w:id="65" w:name="_Toc207187753"/>
    </w:p>
    <w:p w14:paraId="6906FBDB" w14:textId="77777777" w:rsidR="00B54728" w:rsidRDefault="00B54728" w:rsidP="00E9242E">
      <w:pPr>
        <w:rPr>
          <w:iCs/>
          <w:color w:val="FF0000"/>
        </w:rPr>
      </w:pPr>
    </w:p>
    <w:p w14:paraId="4BF8FD17" w14:textId="77777777" w:rsidR="00B54728" w:rsidRDefault="00F66470" w:rsidP="00E9242E">
      <w:pPr>
        <w:pStyle w:val="berschrift2"/>
      </w:pPr>
      <w:bookmarkStart w:id="66" w:name="_Ref207803306"/>
      <w:bookmarkStart w:id="67" w:name="_Toc210125652"/>
      <w:r>
        <w:t>Betriebsfertige Übergabe und Installation von Anschlüssen</w:t>
      </w:r>
      <w:bookmarkEnd w:id="64"/>
      <w:bookmarkEnd w:id="65"/>
      <w:bookmarkEnd w:id="66"/>
      <w:bookmarkEnd w:id="67"/>
    </w:p>
    <w:p w14:paraId="2A1230DA" w14:textId="77777777" w:rsidR="00B54728" w:rsidRDefault="00B54728" w:rsidP="00E9242E"/>
    <w:p w14:paraId="16E8D857" w14:textId="77777777" w:rsidR="00B54728" w:rsidRDefault="00F66470" w:rsidP="00E9242E">
      <w:r>
        <w:t>Nach verbindlichem Abruf eines Festnetznetzanschlusses ist der Auftragnehmer verpflichtet, sich die entsprechenden Daten (insbesondere Telefonnummer und E-Mail-Adresse) der Ansprechpartner für die Installation bei der Bestellung zu beschaffen.</w:t>
      </w:r>
    </w:p>
    <w:p w14:paraId="7DC03D78" w14:textId="77777777" w:rsidR="00B54728" w:rsidRDefault="00F66470" w:rsidP="00E9242E">
      <w:r>
        <w:t>Der Auftragnehmer realisiert den Anschluss, stellt die abgerufene Hardware (Festnetzendgeräte) bereit und installiert diese Vor-Ort an den Standorten der Anschlüsse. Die Anschlüsse werden zusammen mit dem Techniker des Auftragnehmers vor Ort getestet und in Betrieb genommen.</w:t>
      </w:r>
    </w:p>
    <w:p w14:paraId="530329D1" w14:textId="77777777" w:rsidR="00B54728" w:rsidRDefault="00F66470" w:rsidP="00E9242E">
      <w:r>
        <w:t>Damit ist der Anschluss betriebsfertig übergeben.</w:t>
      </w:r>
    </w:p>
    <w:p w14:paraId="3B680F44" w14:textId="77777777" w:rsidR="00B54728" w:rsidRDefault="00F66470" w:rsidP="00E9242E">
      <w:r>
        <w:lastRenderedPageBreak/>
        <w:t>Die Terminabsprache muss spätestens 3 Werktage vor dem Installationstermin mit dem Ansprechpartner des Auftraggebers vor Ort (am geplanten Installationsort) erfolgen. Am Installationstag muss der Techniker sich 1 Stunde vor Eintreffen am Standort nochmals telefonisch ankündigen. Wenn der Termin abgesagt werden muss, ist der Ansprechpartner des Auftraggebers am Standort ebenfalls direkt zu informieren, spätestens 1 Tag vor dem abgesagten Termin.</w:t>
      </w:r>
    </w:p>
    <w:p w14:paraId="221E8377" w14:textId="77777777" w:rsidR="00B54728" w:rsidRDefault="00B54728" w:rsidP="00E9242E"/>
    <w:p w14:paraId="07A624F4" w14:textId="77777777" w:rsidR="00B54728" w:rsidRDefault="00F66470" w:rsidP="00E9242E">
      <w:pPr>
        <w:pStyle w:val="berschrift2"/>
      </w:pPr>
      <w:bookmarkStart w:id="68" w:name="_Toc172295769"/>
      <w:bookmarkStart w:id="69" w:name="_Toc207187754"/>
      <w:bookmarkStart w:id="70" w:name="_Toc210125653"/>
      <w:r>
        <w:t>Bereitstellungszeiten</w:t>
      </w:r>
      <w:bookmarkEnd w:id="68"/>
      <w:bookmarkEnd w:id="69"/>
      <w:bookmarkEnd w:id="70"/>
    </w:p>
    <w:p w14:paraId="0BE46B60" w14:textId="77777777" w:rsidR="00B54728" w:rsidRDefault="00B54728" w:rsidP="00E9242E"/>
    <w:p w14:paraId="54F80755" w14:textId="77777777" w:rsidR="00B54728" w:rsidRDefault="00F66470" w:rsidP="00E9242E">
      <w:r>
        <w:t>Die maximalen Bereitstellungszeiten von der wirksamen Vereinbarung einer Bestellung eines Festnetzanschlusses mit Netzabschlussgerät  bis zur betriebsfertigen Übergabe  sind wie folgt definiert:</w:t>
      </w:r>
    </w:p>
    <w:p w14:paraId="4A3E3054" w14:textId="77777777" w:rsidR="00B54728" w:rsidRDefault="00F66470" w:rsidP="00E9242E">
      <w:r>
        <w:t>- Alle Anschlüsse  – je nach Vereinbarung bei der Bestellung mit Zieltermin</w:t>
      </w:r>
    </w:p>
    <w:p w14:paraId="4ED0E84C" w14:textId="77777777" w:rsidR="00B54728" w:rsidRDefault="00F66470" w:rsidP="00E9242E">
      <w:r>
        <w:t>Bei Verzögerungen der Bereitstellungen sind die Ansprechpartner des Auftraggebers zu informieren.</w:t>
      </w:r>
    </w:p>
    <w:p w14:paraId="3F6C8706" w14:textId="77777777" w:rsidR="00B54728" w:rsidRDefault="00B54728" w:rsidP="00E9242E"/>
    <w:p w14:paraId="4184BBBC" w14:textId="77777777" w:rsidR="00B54728" w:rsidRDefault="00F66470" w:rsidP="00E9242E">
      <w:pPr>
        <w:pStyle w:val="berschrift2"/>
      </w:pPr>
      <w:r>
        <w:t xml:space="preserve"> </w:t>
      </w:r>
      <w:bookmarkStart w:id="71" w:name="_Toc172295770"/>
      <w:bookmarkStart w:id="72" w:name="_Toc207187755"/>
      <w:bookmarkStart w:id="73" w:name="_Toc210125654"/>
      <w:r>
        <w:t>Support und Störungen</w:t>
      </w:r>
      <w:bookmarkEnd w:id="71"/>
      <w:bookmarkEnd w:id="72"/>
      <w:bookmarkEnd w:id="73"/>
    </w:p>
    <w:p w14:paraId="1C22EAE0" w14:textId="77777777" w:rsidR="00B54728" w:rsidRDefault="00B54728" w:rsidP="00E9242E"/>
    <w:p w14:paraId="0299431C" w14:textId="77777777" w:rsidR="00B54728" w:rsidRDefault="00F66470" w:rsidP="00E9242E">
      <w:r>
        <w:t xml:space="preserve">Bei Störungen meldet der Auftraggeber die Störung per Telefon und per Ticket-System. Der Auftragnehmer entstört schnellstmöglich den Anschluss ggfs. inklusive Netzabschlussgerät. </w:t>
      </w:r>
    </w:p>
    <w:p w14:paraId="4CB03155" w14:textId="77777777" w:rsidR="00B54728" w:rsidRDefault="00F66470" w:rsidP="00E9242E">
      <w:r>
        <w:t xml:space="preserve">Bei Großstörungen (größer 10 betroffene Standorte) muss eine root </w:t>
      </w:r>
      <w:proofErr w:type="spellStart"/>
      <w:r>
        <w:t>cause</w:t>
      </w:r>
      <w:proofErr w:type="spellEnd"/>
      <w:r>
        <w:t xml:space="preserve"> </w:t>
      </w:r>
      <w:proofErr w:type="spellStart"/>
      <w:r>
        <w:t>analyse</w:t>
      </w:r>
      <w:proofErr w:type="spellEnd"/>
      <w:r>
        <w:t xml:space="preserve"> (RCA) vom Auftragnehmer durchgeführt und dokumentiert werden. Außerdem ist zu analysieren, wie der Fehler zukünftig verhindert werden kann. Ein Abschlussbericht muss an den Auftraggeber erfolgen.</w:t>
      </w:r>
    </w:p>
    <w:p w14:paraId="1E617182" w14:textId="77777777" w:rsidR="00B54728" w:rsidRDefault="00B54728" w:rsidP="00E9242E"/>
    <w:p w14:paraId="1B4C5ABA" w14:textId="77777777" w:rsidR="00B54728" w:rsidRDefault="00F66470" w:rsidP="00E9242E">
      <w:pPr>
        <w:pStyle w:val="berschrift2"/>
      </w:pPr>
      <w:bookmarkStart w:id="74" w:name="_Toc172295771"/>
      <w:bookmarkStart w:id="75" w:name="_Toc207187756"/>
      <w:bookmarkStart w:id="76" w:name="_Toc210125655"/>
      <w:r>
        <w:t>Hardwareservice und Sicherheitsupdates</w:t>
      </w:r>
      <w:bookmarkEnd w:id="74"/>
      <w:r>
        <w:t xml:space="preserve"> bei gemieteten Festnetzendgeräten</w:t>
      </w:r>
      <w:bookmarkEnd w:id="75"/>
      <w:bookmarkEnd w:id="76"/>
    </w:p>
    <w:p w14:paraId="5B414485" w14:textId="77777777" w:rsidR="00B54728" w:rsidRDefault="00B54728" w:rsidP="00E9242E"/>
    <w:p w14:paraId="71EE8FEF" w14:textId="77777777" w:rsidR="00B54728" w:rsidRDefault="00F66470" w:rsidP="00E9242E">
      <w:r>
        <w:t>Die eingesetzten Netzabschlussgeräte müssen über die Vertragslaufzeit des Einzelabrufs durch den Auftragnehmer automatisch mit kostenfreien Sicherheitsupdates versorgt werden.</w:t>
      </w:r>
    </w:p>
    <w:p w14:paraId="6814BA0F" w14:textId="77777777" w:rsidR="00B54728" w:rsidRDefault="00F66470" w:rsidP="00E9242E">
      <w:r>
        <w:t xml:space="preserve">Wartungsarbeiten und Updates müssen per E-Mail frühzeitig mit einem Vorlauf von 5 Werktagen angekündigt werden und an verschiedene Empfänger verschickt werden können, z. B. an den technischen Ansprechpartner des Auftraggebers. </w:t>
      </w:r>
    </w:p>
    <w:p w14:paraId="7E32C390" w14:textId="77777777" w:rsidR="00B54728" w:rsidRDefault="00F66470" w:rsidP="00E9242E">
      <w:r>
        <w:t>Der Auftragnehmer muss für die Festnetzendgeräte zusätzlich einen Vor-Ort-Service vorhalten und sicherstellen, dass dieser die Lieferung neuer Ersatzgeräte an den Installationsort, den Austausch der defekten Geräte vor Ort, Aufspielen der Konfiguration des Altgerätes sowie den Rücktransport der defekten Geräte beinhaltet.</w:t>
      </w:r>
    </w:p>
    <w:p w14:paraId="7C855DA6" w14:textId="77777777" w:rsidR="00B54728" w:rsidRDefault="00B54728" w:rsidP="00E9242E">
      <w:pPr>
        <w:rPr>
          <w:i/>
          <w:color w:val="FF0000"/>
        </w:rPr>
      </w:pPr>
    </w:p>
    <w:p w14:paraId="2366B0B4" w14:textId="77777777" w:rsidR="00B54728" w:rsidRDefault="00B54728" w:rsidP="00E9242E"/>
    <w:p w14:paraId="3595A58F" w14:textId="77777777" w:rsidR="00B54728" w:rsidRDefault="00F66470" w:rsidP="00E9242E">
      <w:pPr>
        <w:pStyle w:val="berschrift2"/>
      </w:pPr>
      <w:bookmarkStart w:id="77" w:name="_Toc172295772"/>
      <w:bookmarkStart w:id="78" w:name="_Ref179546208"/>
      <w:bookmarkStart w:id="79" w:name="_Toc207187757"/>
      <w:bookmarkStart w:id="80" w:name="_Ref207713302"/>
      <w:bookmarkStart w:id="81" w:name="_Toc210125656"/>
      <w:r>
        <w:t>Einordnung in Störungsklassen</w:t>
      </w:r>
      <w:bookmarkEnd w:id="77"/>
      <w:bookmarkEnd w:id="78"/>
      <w:bookmarkEnd w:id="79"/>
      <w:bookmarkEnd w:id="80"/>
      <w:bookmarkEnd w:id="81"/>
    </w:p>
    <w:p w14:paraId="48FD3351" w14:textId="77777777" w:rsidR="00B54728" w:rsidRDefault="00B54728" w:rsidP="00E9242E"/>
    <w:p w14:paraId="34A6987F" w14:textId="77777777" w:rsidR="00B54728" w:rsidRDefault="00F66470" w:rsidP="00E9242E">
      <w:r>
        <w:t>Für die Störungen an den Festnetzanschlüssen und gemieteten Netzabschlussgeräten sind drei Störungsklassen vorgesehen:</w:t>
      </w:r>
    </w:p>
    <w:tbl>
      <w:tblPr>
        <w:tblStyle w:val="Tabellenraster"/>
        <w:tblW w:w="0" w:type="auto"/>
        <w:tblLook w:val="04A0" w:firstRow="1" w:lastRow="0" w:firstColumn="1" w:lastColumn="0" w:noHBand="0" w:noVBand="1"/>
      </w:tblPr>
      <w:tblGrid>
        <w:gridCol w:w="3019"/>
        <w:gridCol w:w="3020"/>
        <w:gridCol w:w="3021"/>
      </w:tblGrid>
      <w:tr w:rsidR="00B54728" w14:paraId="445696AF" w14:textId="77777777" w:rsidTr="005610B1">
        <w:tc>
          <w:tcPr>
            <w:tcW w:w="3019" w:type="dxa"/>
          </w:tcPr>
          <w:p w14:paraId="234B87C1" w14:textId="77777777" w:rsidR="00B54728" w:rsidRDefault="00F66470" w:rsidP="00E9242E">
            <w:pPr>
              <w:rPr>
                <w:sz w:val="16"/>
                <w:szCs w:val="16"/>
              </w:rPr>
            </w:pPr>
            <w:r>
              <w:rPr>
                <w:sz w:val="16"/>
                <w:szCs w:val="16"/>
              </w:rPr>
              <w:t>Priorität</w:t>
            </w:r>
          </w:p>
        </w:tc>
        <w:tc>
          <w:tcPr>
            <w:tcW w:w="3020" w:type="dxa"/>
          </w:tcPr>
          <w:p w14:paraId="23A3ABCA" w14:textId="77777777" w:rsidR="00B54728" w:rsidRDefault="00B54728" w:rsidP="00E9242E">
            <w:pPr>
              <w:rPr>
                <w:sz w:val="16"/>
                <w:szCs w:val="16"/>
              </w:rPr>
            </w:pPr>
          </w:p>
        </w:tc>
        <w:tc>
          <w:tcPr>
            <w:tcW w:w="3021" w:type="dxa"/>
          </w:tcPr>
          <w:p w14:paraId="59023275" w14:textId="77777777" w:rsidR="00B54728" w:rsidRDefault="00B54728" w:rsidP="00E9242E">
            <w:pPr>
              <w:rPr>
                <w:sz w:val="16"/>
                <w:szCs w:val="16"/>
              </w:rPr>
            </w:pPr>
          </w:p>
        </w:tc>
      </w:tr>
      <w:tr w:rsidR="00B54728" w14:paraId="737C938F" w14:textId="77777777" w:rsidTr="005610B1">
        <w:tc>
          <w:tcPr>
            <w:tcW w:w="3019" w:type="dxa"/>
          </w:tcPr>
          <w:p w14:paraId="48DF8BCB" w14:textId="77777777" w:rsidR="00B54728" w:rsidRDefault="00F66470" w:rsidP="00E9242E">
            <w:pPr>
              <w:rPr>
                <w:sz w:val="16"/>
                <w:szCs w:val="16"/>
              </w:rPr>
            </w:pPr>
            <w:r>
              <w:rPr>
                <w:sz w:val="16"/>
                <w:szCs w:val="16"/>
              </w:rPr>
              <w:t xml:space="preserve">Störungsklasse 1 </w:t>
            </w:r>
          </w:p>
          <w:p w14:paraId="4302CAE1" w14:textId="77777777" w:rsidR="00B54728" w:rsidRDefault="00F66470" w:rsidP="00E9242E">
            <w:pPr>
              <w:rPr>
                <w:sz w:val="16"/>
                <w:szCs w:val="16"/>
              </w:rPr>
            </w:pPr>
            <w:r>
              <w:rPr>
                <w:sz w:val="16"/>
                <w:szCs w:val="16"/>
              </w:rPr>
              <w:t>(Totalausfall)</w:t>
            </w:r>
          </w:p>
        </w:tc>
        <w:tc>
          <w:tcPr>
            <w:tcW w:w="3020" w:type="dxa"/>
          </w:tcPr>
          <w:p w14:paraId="5D2DF54D" w14:textId="77777777" w:rsidR="00B54728" w:rsidRDefault="00F66470" w:rsidP="00E9242E">
            <w:pPr>
              <w:rPr>
                <w:sz w:val="16"/>
                <w:szCs w:val="16"/>
              </w:rPr>
            </w:pPr>
            <w:r>
              <w:rPr>
                <w:sz w:val="16"/>
                <w:szCs w:val="16"/>
              </w:rPr>
              <w:t>Auswirkung: Gespräche sind nicht möglich (eingehend und / oder ausgehend)</w:t>
            </w:r>
          </w:p>
        </w:tc>
        <w:tc>
          <w:tcPr>
            <w:tcW w:w="3021" w:type="dxa"/>
          </w:tcPr>
          <w:p w14:paraId="47286376" w14:textId="77777777" w:rsidR="00B54728" w:rsidRDefault="00F66470" w:rsidP="00E9242E">
            <w:pPr>
              <w:pStyle w:val="Blocktext"/>
              <w:rPr>
                <w:sz w:val="16"/>
                <w:szCs w:val="16"/>
              </w:rPr>
            </w:pPr>
            <w:r>
              <w:rPr>
                <w:rStyle w:val="AText1"/>
                <w:sz w:val="16"/>
                <w:szCs w:val="16"/>
              </w:rPr>
              <w:t xml:space="preserve">Störungsursache: Ausfall wesentlicher zentraler Komponenten, zentraler Netzanschluss für die Anbindung an das Kommunikationsnetzwerk; Totalunterbrechung der Zugangsleitungen („last </w:t>
            </w:r>
            <w:proofErr w:type="spellStart"/>
            <w:r>
              <w:rPr>
                <w:rStyle w:val="AText1"/>
                <w:sz w:val="16"/>
                <w:szCs w:val="16"/>
              </w:rPr>
              <w:t>mile</w:t>
            </w:r>
            <w:proofErr w:type="spellEnd"/>
            <w:r>
              <w:rPr>
                <w:rStyle w:val="AText1"/>
                <w:sz w:val="16"/>
                <w:szCs w:val="16"/>
              </w:rPr>
              <w:t>“). Kommende bzw. gehende Verbindungen von und nach extern können nicht aufgebaut werden.</w:t>
            </w:r>
          </w:p>
        </w:tc>
      </w:tr>
      <w:tr w:rsidR="00B54728" w14:paraId="6C94ADFA" w14:textId="77777777" w:rsidTr="005610B1">
        <w:tc>
          <w:tcPr>
            <w:tcW w:w="3019" w:type="dxa"/>
          </w:tcPr>
          <w:p w14:paraId="0D35D228" w14:textId="77777777" w:rsidR="00B54728" w:rsidRDefault="00F66470" w:rsidP="00E9242E">
            <w:pPr>
              <w:rPr>
                <w:sz w:val="16"/>
                <w:szCs w:val="16"/>
              </w:rPr>
            </w:pPr>
            <w:r>
              <w:rPr>
                <w:sz w:val="16"/>
                <w:szCs w:val="16"/>
              </w:rPr>
              <w:t>Störungsklasse</w:t>
            </w:r>
            <w:r>
              <w:rPr>
                <w:sz w:val="16"/>
                <w:szCs w:val="16"/>
              </w:rPr>
              <w:tab/>
              <w:t xml:space="preserve">2 </w:t>
            </w:r>
          </w:p>
          <w:p w14:paraId="64CC1016" w14:textId="77777777" w:rsidR="00B54728" w:rsidRDefault="00F66470" w:rsidP="00E9242E">
            <w:pPr>
              <w:rPr>
                <w:sz w:val="16"/>
                <w:szCs w:val="16"/>
              </w:rPr>
            </w:pPr>
            <w:r>
              <w:rPr>
                <w:sz w:val="16"/>
                <w:szCs w:val="16"/>
              </w:rPr>
              <w:t>(Teilausfall)</w:t>
            </w:r>
          </w:p>
        </w:tc>
        <w:tc>
          <w:tcPr>
            <w:tcW w:w="3020" w:type="dxa"/>
          </w:tcPr>
          <w:p w14:paraId="039207BE" w14:textId="77777777" w:rsidR="00B54728" w:rsidRDefault="00F66470" w:rsidP="00E9242E">
            <w:pPr>
              <w:rPr>
                <w:sz w:val="16"/>
                <w:szCs w:val="16"/>
              </w:rPr>
            </w:pPr>
            <w:r>
              <w:rPr>
                <w:sz w:val="16"/>
                <w:szCs w:val="16"/>
              </w:rPr>
              <w:t>Auswirkung: Einschränkungen in der Qualität</w:t>
            </w:r>
          </w:p>
        </w:tc>
        <w:tc>
          <w:tcPr>
            <w:tcW w:w="3021" w:type="dxa"/>
          </w:tcPr>
          <w:p w14:paraId="143FBF25" w14:textId="77777777" w:rsidR="00B54728" w:rsidRDefault="00F66470" w:rsidP="00E9242E">
            <w:pPr>
              <w:rPr>
                <w:sz w:val="16"/>
                <w:szCs w:val="16"/>
              </w:rPr>
            </w:pPr>
            <w:r>
              <w:rPr>
                <w:sz w:val="16"/>
                <w:szCs w:val="16"/>
              </w:rPr>
              <w:t xml:space="preserve">Störungsursache: Einzelne Leistungsmerkmale des </w:t>
            </w:r>
            <w:proofErr w:type="spellStart"/>
            <w:r>
              <w:rPr>
                <w:sz w:val="16"/>
                <w:szCs w:val="16"/>
              </w:rPr>
              <w:t>Teilnehmeran</w:t>
            </w:r>
            <w:proofErr w:type="spellEnd"/>
            <w:r>
              <w:rPr>
                <w:sz w:val="16"/>
                <w:szCs w:val="16"/>
              </w:rPr>
              <w:t>-schlusses sind nicht verfügbar. Vereinbarte Parameter im Kommunikationsnetzwerk werden nicht eingehalten (Bandbreite, QoS, Antwortzeiten etc.). Einschränkung der Gesprächsqualität wie z.B. Knacken, Echo usw.</w:t>
            </w:r>
          </w:p>
        </w:tc>
      </w:tr>
      <w:tr w:rsidR="00B54728" w14:paraId="4E34D3B4" w14:textId="77777777" w:rsidTr="005610B1">
        <w:tc>
          <w:tcPr>
            <w:tcW w:w="3019" w:type="dxa"/>
          </w:tcPr>
          <w:p w14:paraId="1EE35139" w14:textId="77777777" w:rsidR="00B54728" w:rsidRDefault="00F66470" w:rsidP="00E9242E">
            <w:pPr>
              <w:rPr>
                <w:rStyle w:val="AText1"/>
                <w:sz w:val="16"/>
                <w:szCs w:val="16"/>
              </w:rPr>
            </w:pPr>
            <w:r>
              <w:rPr>
                <w:rStyle w:val="AText1"/>
                <w:sz w:val="16"/>
                <w:szCs w:val="16"/>
              </w:rPr>
              <w:t>Störungsklasse</w:t>
            </w:r>
            <w:r>
              <w:rPr>
                <w:rStyle w:val="AText1"/>
                <w:sz w:val="16"/>
                <w:szCs w:val="16"/>
              </w:rPr>
              <w:tab/>
              <w:t xml:space="preserve">3 </w:t>
            </w:r>
          </w:p>
          <w:p w14:paraId="11AFC5DC" w14:textId="77777777" w:rsidR="00B54728" w:rsidRDefault="00F66470" w:rsidP="00E9242E">
            <w:pPr>
              <w:rPr>
                <w:sz w:val="16"/>
                <w:szCs w:val="16"/>
              </w:rPr>
            </w:pPr>
            <w:r>
              <w:rPr>
                <w:rStyle w:val="AText1"/>
                <w:sz w:val="16"/>
                <w:szCs w:val="16"/>
              </w:rPr>
              <w:t>(Ausfall von Leistungen)</w:t>
            </w:r>
          </w:p>
        </w:tc>
        <w:tc>
          <w:tcPr>
            <w:tcW w:w="3020" w:type="dxa"/>
          </w:tcPr>
          <w:p w14:paraId="1F464DB5" w14:textId="77777777" w:rsidR="00B54728" w:rsidRDefault="00F66470" w:rsidP="00E9242E">
            <w:pPr>
              <w:rPr>
                <w:sz w:val="16"/>
                <w:szCs w:val="16"/>
              </w:rPr>
            </w:pPr>
            <w:r>
              <w:rPr>
                <w:sz w:val="16"/>
                <w:szCs w:val="16"/>
              </w:rPr>
              <w:t>Auswirkung: Einschränkung von Leistungen ggfs. netzübergreifend</w:t>
            </w:r>
          </w:p>
        </w:tc>
        <w:tc>
          <w:tcPr>
            <w:tcW w:w="3021" w:type="dxa"/>
          </w:tcPr>
          <w:p w14:paraId="671FE8DA" w14:textId="77777777" w:rsidR="00B54728" w:rsidRDefault="00F66470" w:rsidP="00E9242E">
            <w:pPr>
              <w:rPr>
                <w:sz w:val="16"/>
                <w:szCs w:val="16"/>
              </w:rPr>
            </w:pPr>
            <w:r>
              <w:rPr>
                <w:sz w:val="16"/>
                <w:szCs w:val="16"/>
              </w:rPr>
              <w:t xml:space="preserve">Störungsursache: Einzelne Leistungsmerkmale des </w:t>
            </w:r>
            <w:proofErr w:type="spellStart"/>
            <w:r>
              <w:rPr>
                <w:sz w:val="16"/>
                <w:szCs w:val="16"/>
              </w:rPr>
              <w:t>Teilnehmeran</w:t>
            </w:r>
            <w:proofErr w:type="spellEnd"/>
            <w:r>
              <w:rPr>
                <w:sz w:val="16"/>
                <w:szCs w:val="16"/>
              </w:rPr>
              <w:t xml:space="preserve">-schlusses (z.B. </w:t>
            </w:r>
            <w:proofErr w:type="spellStart"/>
            <w:r>
              <w:rPr>
                <w:sz w:val="16"/>
                <w:szCs w:val="16"/>
              </w:rPr>
              <w:t>CoS</w:t>
            </w:r>
            <w:proofErr w:type="spellEnd"/>
            <w:r>
              <w:rPr>
                <w:sz w:val="16"/>
                <w:szCs w:val="16"/>
              </w:rPr>
              <w:t xml:space="preserve"> ist nicht verfügbar) </w:t>
            </w:r>
          </w:p>
        </w:tc>
      </w:tr>
    </w:tbl>
    <w:p w14:paraId="5BAA786E" w14:textId="77777777" w:rsidR="00B54728" w:rsidRDefault="00B54728" w:rsidP="00E9242E">
      <w:bookmarkStart w:id="82" w:name="_Toc172295773"/>
    </w:p>
    <w:p w14:paraId="35DAFE36" w14:textId="77777777" w:rsidR="00B54728" w:rsidRDefault="00F66470" w:rsidP="00E9242E">
      <w:pPr>
        <w:pStyle w:val="berschrift2"/>
      </w:pPr>
      <w:bookmarkStart w:id="83" w:name="_Toc207187758"/>
      <w:bookmarkStart w:id="84" w:name="_Toc210125657"/>
      <w:r>
        <w:t>Eskalationsstufen</w:t>
      </w:r>
      <w:bookmarkEnd w:id="82"/>
      <w:bookmarkEnd w:id="83"/>
      <w:bookmarkEnd w:id="84"/>
    </w:p>
    <w:p w14:paraId="2D5726D3" w14:textId="77777777" w:rsidR="00B54728" w:rsidRDefault="00F66470" w:rsidP="00E9242E">
      <w:pPr>
        <w:pStyle w:val="Blocktext"/>
        <w:rPr>
          <w:rStyle w:val="AText1"/>
          <w:rFonts w:asciiTheme="minorHAnsi" w:hAnsiTheme="minorHAnsi" w:cstheme="minorHAnsi"/>
          <w:b/>
          <w:bCs/>
          <w:sz w:val="22"/>
          <w:szCs w:val="22"/>
        </w:rPr>
      </w:pPr>
      <w:bookmarkStart w:id="85" w:name="_Hlk176186827"/>
      <w:r>
        <w:rPr>
          <w:rStyle w:val="AText1"/>
        </w:rPr>
        <w:br/>
      </w:r>
      <w:r>
        <w:rPr>
          <w:rStyle w:val="AText1"/>
          <w:rFonts w:asciiTheme="minorHAnsi" w:hAnsiTheme="minorHAnsi" w:cstheme="minorHAnsi"/>
          <w:sz w:val="22"/>
          <w:szCs w:val="22"/>
        </w:rPr>
        <w:t xml:space="preserve">Für den Fall, dass die Bearbeitung einer Störung/Anfrage nicht innerhalb der unter Kapitel </w:t>
      </w:r>
      <w:r>
        <w:rPr>
          <w:rStyle w:val="AText1"/>
          <w:rFonts w:asciiTheme="minorHAnsi" w:hAnsiTheme="minorHAnsi" w:cstheme="minorHAnsi"/>
          <w:sz w:val="22"/>
          <w:szCs w:val="22"/>
        </w:rPr>
        <w:fldChar w:fldCharType="begin"/>
      </w:r>
      <w:r>
        <w:rPr>
          <w:rStyle w:val="AText1"/>
          <w:rFonts w:asciiTheme="minorHAnsi" w:hAnsiTheme="minorHAnsi" w:cstheme="minorHAnsi"/>
          <w:sz w:val="22"/>
          <w:szCs w:val="22"/>
        </w:rPr>
        <w:instrText xml:space="preserve"> REF _Ref176357228 \r \h </w:instrText>
      </w:r>
      <w:r w:rsidR="00E9242E">
        <w:rPr>
          <w:rStyle w:val="AText1"/>
          <w:rFonts w:asciiTheme="minorHAnsi" w:hAnsiTheme="minorHAnsi" w:cstheme="minorHAnsi"/>
          <w:sz w:val="22"/>
          <w:szCs w:val="22"/>
        </w:rPr>
        <w:instrText xml:space="preserve"> \* MERGEFORMAT </w:instrText>
      </w:r>
      <w:r>
        <w:rPr>
          <w:rStyle w:val="AText1"/>
          <w:rFonts w:asciiTheme="minorHAnsi" w:hAnsiTheme="minorHAnsi" w:cstheme="minorHAnsi"/>
          <w:sz w:val="22"/>
          <w:szCs w:val="22"/>
        </w:rPr>
      </w:r>
      <w:r>
        <w:rPr>
          <w:rStyle w:val="AText1"/>
          <w:rFonts w:asciiTheme="minorHAnsi" w:hAnsiTheme="minorHAnsi" w:cstheme="minorHAnsi"/>
          <w:sz w:val="22"/>
          <w:szCs w:val="22"/>
        </w:rPr>
        <w:fldChar w:fldCharType="separate"/>
      </w:r>
      <w:r>
        <w:rPr>
          <w:rStyle w:val="AText1"/>
          <w:rFonts w:asciiTheme="minorHAnsi" w:hAnsiTheme="minorHAnsi" w:cstheme="minorHAnsi"/>
          <w:sz w:val="22"/>
          <w:szCs w:val="22"/>
        </w:rPr>
        <w:t xml:space="preserve">5.1 </w:t>
      </w:r>
      <w:r>
        <w:rPr>
          <w:rStyle w:val="AText1"/>
          <w:rFonts w:asciiTheme="minorHAnsi" w:hAnsiTheme="minorHAnsi" w:cstheme="minorHAnsi"/>
          <w:sz w:val="22"/>
          <w:szCs w:val="22"/>
        </w:rPr>
        <w:fldChar w:fldCharType="end"/>
      </w:r>
      <w:r>
        <w:rPr>
          <w:rStyle w:val="AText1"/>
          <w:rFonts w:asciiTheme="minorHAnsi" w:hAnsiTheme="minorHAnsi" w:cstheme="minorHAnsi"/>
          <w:sz w:val="22"/>
          <w:szCs w:val="22"/>
        </w:rPr>
        <w:t xml:space="preserve"> und </w:t>
      </w:r>
      <w:r>
        <w:rPr>
          <w:rStyle w:val="AText1"/>
          <w:rFonts w:asciiTheme="minorHAnsi" w:hAnsiTheme="minorHAnsi" w:cstheme="minorHAnsi"/>
          <w:sz w:val="22"/>
          <w:szCs w:val="22"/>
        </w:rPr>
        <w:fldChar w:fldCharType="begin"/>
      </w:r>
      <w:r>
        <w:rPr>
          <w:rStyle w:val="AText1"/>
          <w:rFonts w:asciiTheme="minorHAnsi" w:hAnsiTheme="minorHAnsi" w:cstheme="minorHAnsi"/>
          <w:sz w:val="22"/>
          <w:szCs w:val="22"/>
        </w:rPr>
        <w:instrText xml:space="preserve"> REF _Ref207803306 \r \h </w:instrText>
      </w:r>
      <w:r w:rsidR="00E9242E">
        <w:rPr>
          <w:rStyle w:val="AText1"/>
          <w:rFonts w:asciiTheme="minorHAnsi" w:hAnsiTheme="minorHAnsi" w:cstheme="minorHAnsi"/>
          <w:sz w:val="22"/>
          <w:szCs w:val="22"/>
        </w:rPr>
        <w:instrText xml:space="preserve"> \* MERGEFORMAT </w:instrText>
      </w:r>
      <w:r>
        <w:rPr>
          <w:rStyle w:val="AText1"/>
          <w:rFonts w:asciiTheme="minorHAnsi" w:hAnsiTheme="minorHAnsi" w:cstheme="minorHAnsi"/>
          <w:sz w:val="22"/>
          <w:szCs w:val="22"/>
        </w:rPr>
      </w:r>
      <w:r>
        <w:rPr>
          <w:rStyle w:val="AText1"/>
          <w:rFonts w:asciiTheme="minorHAnsi" w:hAnsiTheme="minorHAnsi" w:cstheme="minorHAnsi"/>
          <w:sz w:val="22"/>
          <w:szCs w:val="22"/>
        </w:rPr>
        <w:fldChar w:fldCharType="separate"/>
      </w:r>
      <w:r>
        <w:rPr>
          <w:rStyle w:val="AText1"/>
          <w:rFonts w:asciiTheme="minorHAnsi" w:hAnsiTheme="minorHAnsi" w:cstheme="minorHAnsi"/>
          <w:sz w:val="22"/>
          <w:szCs w:val="22"/>
        </w:rPr>
        <w:t xml:space="preserve">5.2 </w:t>
      </w:r>
      <w:r>
        <w:rPr>
          <w:rStyle w:val="AText1"/>
          <w:rFonts w:asciiTheme="minorHAnsi" w:hAnsiTheme="minorHAnsi" w:cstheme="minorHAnsi"/>
          <w:sz w:val="22"/>
          <w:szCs w:val="22"/>
        </w:rPr>
        <w:fldChar w:fldCharType="end"/>
      </w:r>
      <w:r>
        <w:rPr>
          <w:rStyle w:val="AText1"/>
          <w:rFonts w:asciiTheme="minorHAnsi" w:hAnsiTheme="minorHAnsi" w:cstheme="minorHAnsi"/>
          <w:sz w:val="22"/>
          <w:szCs w:val="22"/>
        </w:rPr>
        <w:t>benannten Fristen erfolgt, hat der Auftragnehmer folgende Eskalationsstufen einzurichten:</w:t>
      </w:r>
      <w:bookmarkEnd w:id="85"/>
    </w:p>
    <w:p w14:paraId="037931E4" w14:textId="77777777" w:rsidR="00B54728" w:rsidRDefault="00F66470" w:rsidP="00E9242E">
      <w:pPr>
        <w:pStyle w:val="Blocktext"/>
        <w:spacing w:after="120"/>
        <w:rPr>
          <w:rStyle w:val="AText1"/>
          <w:rFonts w:asciiTheme="minorHAnsi" w:hAnsiTheme="minorHAnsi" w:cstheme="minorHAnsi"/>
          <w:sz w:val="22"/>
          <w:szCs w:val="22"/>
        </w:rPr>
      </w:pPr>
      <w:r>
        <w:rPr>
          <w:rStyle w:val="AText1"/>
          <w:rFonts w:asciiTheme="minorHAnsi" w:hAnsiTheme="minorHAnsi" w:cstheme="minorHAnsi"/>
          <w:sz w:val="22"/>
          <w:szCs w:val="22"/>
        </w:rPr>
        <w:t>Eskalationsstufe 1</w:t>
      </w:r>
    </w:p>
    <w:p w14:paraId="5B7BA502" w14:textId="77777777" w:rsidR="00B54728" w:rsidRDefault="00F66470" w:rsidP="00E9242E">
      <w:pPr>
        <w:pStyle w:val="Blocktext"/>
        <w:rPr>
          <w:rStyle w:val="AText1"/>
          <w:rFonts w:asciiTheme="minorHAnsi" w:hAnsiTheme="minorHAnsi" w:cstheme="minorHAnsi"/>
          <w:b/>
          <w:bCs/>
          <w:sz w:val="22"/>
          <w:szCs w:val="22"/>
        </w:rPr>
      </w:pPr>
      <w:r>
        <w:rPr>
          <w:rStyle w:val="AText1"/>
          <w:rFonts w:asciiTheme="minorHAnsi" w:hAnsiTheme="minorHAnsi" w:cstheme="minorHAnsi"/>
          <w:sz w:val="22"/>
          <w:szCs w:val="22"/>
        </w:rPr>
        <w:t>Teamleiter / Ansprechpartner wird vom Callcenter- Mitarbeiter eingeschaltet bzw. automatisch durch das Trouble-Ticket-System informiert.</w:t>
      </w:r>
    </w:p>
    <w:p w14:paraId="31762BDF" w14:textId="77777777" w:rsidR="00B54728" w:rsidRDefault="00F66470" w:rsidP="00E9242E">
      <w:pPr>
        <w:pStyle w:val="Blocktext"/>
        <w:spacing w:after="120"/>
        <w:rPr>
          <w:rStyle w:val="AText1"/>
          <w:rFonts w:asciiTheme="minorHAnsi" w:hAnsiTheme="minorHAnsi" w:cstheme="minorHAnsi"/>
          <w:sz w:val="22"/>
          <w:szCs w:val="22"/>
        </w:rPr>
      </w:pPr>
      <w:r>
        <w:rPr>
          <w:rStyle w:val="AText1"/>
          <w:rFonts w:asciiTheme="minorHAnsi" w:hAnsiTheme="minorHAnsi" w:cstheme="minorHAnsi"/>
          <w:sz w:val="22"/>
          <w:szCs w:val="22"/>
        </w:rPr>
        <w:t>Eskalationsstufe 2</w:t>
      </w:r>
    </w:p>
    <w:p w14:paraId="1D7DE44E" w14:textId="77777777" w:rsidR="00B54728" w:rsidRDefault="00F66470" w:rsidP="00E9242E">
      <w:pPr>
        <w:pStyle w:val="Blocktext"/>
        <w:rPr>
          <w:rStyle w:val="AText1"/>
          <w:rFonts w:asciiTheme="minorHAnsi" w:hAnsiTheme="minorHAnsi" w:cstheme="minorHAnsi"/>
          <w:sz w:val="22"/>
          <w:szCs w:val="22"/>
        </w:rPr>
      </w:pPr>
      <w:r>
        <w:rPr>
          <w:rStyle w:val="AText1"/>
          <w:rFonts w:asciiTheme="minorHAnsi" w:hAnsiTheme="minorHAnsi" w:cstheme="minorHAnsi"/>
          <w:sz w:val="22"/>
          <w:szCs w:val="22"/>
        </w:rPr>
        <w:t>Weiterer Vorgesetzter wird vom Teamleiter eingeschaltet. Es wird eine Liste mit Ansprechpartnern (Auftragnehmer und Auftraggeber) der einzelnen Eskalationsstufen zu Beginn der Vertragslaufzeit vereinbart.</w:t>
      </w:r>
    </w:p>
    <w:p w14:paraId="4630E062" w14:textId="77777777" w:rsidR="00B54728" w:rsidRDefault="00B54728" w:rsidP="00E9242E">
      <w:pPr>
        <w:pStyle w:val="Blocktext"/>
        <w:rPr>
          <w:rStyle w:val="AText1"/>
          <w:rFonts w:asciiTheme="minorHAnsi" w:hAnsiTheme="minorHAnsi" w:cstheme="minorHAnsi"/>
          <w:sz w:val="22"/>
          <w:szCs w:val="22"/>
        </w:rPr>
      </w:pPr>
    </w:p>
    <w:p w14:paraId="5C1CE013" w14:textId="77777777" w:rsidR="00B54728" w:rsidRDefault="00F66470" w:rsidP="00E9242E">
      <w:pPr>
        <w:pStyle w:val="berschrift2"/>
      </w:pPr>
      <w:bookmarkStart w:id="86" w:name="_Toc207187759"/>
      <w:bookmarkStart w:id="87" w:name="_Toc210125658"/>
      <w:bookmarkStart w:id="88" w:name="_Toc172295774"/>
      <w:r>
        <w:t>Sonstige Dienstleistungen</w:t>
      </w:r>
      <w:bookmarkEnd w:id="86"/>
      <w:bookmarkEnd w:id="87"/>
      <w:r>
        <w:t xml:space="preserve"> </w:t>
      </w:r>
      <w:bookmarkEnd w:id="88"/>
    </w:p>
    <w:p w14:paraId="5ACD2CE4" w14:textId="77777777" w:rsidR="00B54728" w:rsidRDefault="00F66470" w:rsidP="00E9242E">
      <w:r>
        <w:br/>
        <w:t xml:space="preserve">Über die o. g. Leistungen zur laufenden Instandhaltung der ausgeschriebenen Telekommunikationsinfrastruktur hinaus ist der Auftragnehmer im Falle eines dahingehenden Einzelabrufs verpflichtet, den Auftraggeber im Zusammenhang mit den ausgeschriebenen Leistungen und bei Projekten und Änderungen, die über die laufende Instandhaltung hinausgehen, technisch mit </w:t>
      </w:r>
      <w:r>
        <w:lastRenderedPageBreak/>
        <w:t>Personal zu unterstützen. Sonstige Dienstleistungen werden nach Aufwand zu den Stundensätzen im Preisblatt vergütet, wobei im Einzelabruf Obergrenzen vereinbart werden können.</w:t>
      </w:r>
    </w:p>
    <w:p w14:paraId="0C400790" w14:textId="77777777" w:rsidR="00B54728" w:rsidRDefault="00F66470" w:rsidP="00E9242E">
      <w:r>
        <w:t xml:space="preserve">In besonderen Fällen kann die Mithilfe qualifizierter Mitarbeiter des Auftragnehmers erforderlich werden. Die zum Einsatz kommenden Mitarbeiter müssen über eine langjährige Berufserfahrung im Bereich moderner Telekommunikationstechnologien im Geschäftskundenbereich verfügen und die erforderliche Qualifikationsstufe vorweisen. </w:t>
      </w:r>
    </w:p>
    <w:p w14:paraId="0F6EE5E6" w14:textId="77777777" w:rsidR="00B54728" w:rsidRDefault="00F66470" w:rsidP="00E9242E">
      <w:r>
        <w:t>Folgende Qualifikationsstufen sind zu unterscheiden:</w:t>
      </w:r>
    </w:p>
    <w:p w14:paraId="2C766014" w14:textId="77777777" w:rsidR="00B54728" w:rsidRDefault="00F66470" w:rsidP="00E9242E">
      <w:pPr>
        <w:pStyle w:val="Listenabsatz"/>
        <w:widowControl w:val="0"/>
        <w:numPr>
          <w:ilvl w:val="0"/>
          <w:numId w:val="35"/>
        </w:numPr>
        <w:spacing w:after="120" w:line="240" w:lineRule="auto"/>
      </w:pPr>
      <w:r>
        <w:t>Stufe 1: Servicetechniker Basis</w:t>
      </w:r>
    </w:p>
    <w:p w14:paraId="5450A998" w14:textId="77777777" w:rsidR="00B54728" w:rsidRDefault="00F66470" w:rsidP="00E9242E">
      <w:pPr>
        <w:pStyle w:val="Listenabsatz"/>
        <w:widowControl w:val="0"/>
        <w:numPr>
          <w:ilvl w:val="0"/>
          <w:numId w:val="35"/>
        </w:numPr>
        <w:spacing w:after="120" w:line="240" w:lineRule="auto"/>
      </w:pPr>
      <w:r>
        <w:t>Stufe 2: Servicetechniker Fortgeschritten</w:t>
      </w:r>
    </w:p>
    <w:p w14:paraId="35870D40" w14:textId="77777777" w:rsidR="00B54728" w:rsidRDefault="00F66470" w:rsidP="00E9242E">
      <w:r>
        <w:t>Die Mitarbeiter sind (bei jeweiligem Beginn der technischen Unterstützung) namentlich zu nennen (Nachname, Vorname). Es ist ein Einsatz spätestens zwei Tage nach Anforderung vorgesehen.</w:t>
      </w:r>
    </w:p>
    <w:p w14:paraId="191432B5" w14:textId="77777777" w:rsidR="00B54728" w:rsidRDefault="00B54728" w:rsidP="00E9242E"/>
    <w:p w14:paraId="36EA1728" w14:textId="77777777" w:rsidR="00B54728" w:rsidRDefault="00B54728" w:rsidP="00E9242E"/>
    <w:p w14:paraId="4D87255C" w14:textId="77777777" w:rsidR="00B54728" w:rsidRDefault="00F66470" w:rsidP="00E9242E">
      <w:pPr>
        <w:pStyle w:val="berschrift1"/>
        <w:tabs>
          <w:tab w:val="num" w:pos="851"/>
        </w:tabs>
        <w:spacing w:line="480" w:lineRule="auto"/>
        <w:ind w:left="851" w:hanging="851"/>
      </w:pPr>
      <w:bookmarkStart w:id="89" w:name="_Toc161827928"/>
      <w:bookmarkStart w:id="90" w:name="_Toc175831876"/>
      <w:bookmarkStart w:id="91" w:name="_Toc207187760"/>
      <w:bookmarkStart w:id="92" w:name="_Toc210125659"/>
      <w:r>
        <w:t>Migration</w:t>
      </w:r>
      <w:bookmarkEnd w:id="89"/>
      <w:bookmarkEnd w:id="90"/>
      <w:bookmarkEnd w:id="91"/>
      <w:bookmarkEnd w:id="92"/>
    </w:p>
    <w:p w14:paraId="54B10D5E" w14:textId="77777777" w:rsidR="00B54728" w:rsidRDefault="00F66470" w:rsidP="00E9242E">
      <w:r>
        <w:t>Für die Umsetzung der Anschlüsse beim Auftraggeber gelten folgende Vorgaben, die der Auftragnehmer erfüllen muss:</w:t>
      </w:r>
    </w:p>
    <w:p w14:paraId="275AABE9" w14:textId="77777777" w:rsidR="00B54728" w:rsidRDefault="00F66470" w:rsidP="00E9242E">
      <w:pPr>
        <w:pStyle w:val="Listenabsatz"/>
        <w:numPr>
          <w:ilvl w:val="0"/>
          <w:numId w:val="34"/>
        </w:numPr>
      </w:pPr>
      <w:r>
        <w:t>Stellung eines zentralen Projektleiters</w:t>
      </w:r>
    </w:p>
    <w:p w14:paraId="5C81DE89" w14:textId="77777777" w:rsidR="00B54728" w:rsidRDefault="00F66470" w:rsidP="00E9242E">
      <w:pPr>
        <w:pStyle w:val="Listenabsatz"/>
        <w:numPr>
          <w:ilvl w:val="0"/>
          <w:numId w:val="34"/>
        </w:numPr>
      </w:pPr>
      <w:r>
        <w:t xml:space="preserve">Regelmäßige </w:t>
      </w:r>
      <w:proofErr w:type="spellStart"/>
      <w:r>
        <w:t>JourFixe</w:t>
      </w:r>
      <w:proofErr w:type="spellEnd"/>
      <w:r>
        <w:t xml:space="preserve"> bis zur Umsetzung des gesamten Projektes</w:t>
      </w:r>
    </w:p>
    <w:p w14:paraId="7D432640" w14:textId="77777777" w:rsidR="00B54728" w:rsidRDefault="00F66470" w:rsidP="00E9242E">
      <w:pPr>
        <w:pStyle w:val="Listenabsatz"/>
        <w:numPr>
          <w:ilvl w:val="0"/>
          <w:numId w:val="34"/>
        </w:numPr>
      </w:pPr>
      <w:r>
        <w:t xml:space="preserve">Vor-Ort Besuche sind mit dem Auftraggeber zentral abzustimmen </w:t>
      </w:r>
    </w:p>
    <w:p w14:paraId="141F6874" w14:textId="77777777" w:rsidR="00B54728" w:rsidRDefault="00F66470" w:rsidP="00E9242E">
      <w:pPr>
        <w:pStyle w:val="Listenabsatz"/>
        <w:numPr>
          <w:ilvl w:val="0"/>
          <w:numId w:val="34"/>
        </w:numPr>
      </w:pPr>
      <w:r>
        <w:t>Die Ansprechpartner in den Standorten sind dann im Nachgang zu informieren und einzubinden.</w:t>
      </w:r>
    </w:p>
    <w:p w14:paraId="13F6DFB8" w14:textId="77777777" w:rsidR="00B54728" w:rsidRDefault="00F66470" w:rsidP="00E9242E">
      <w:pPr>
        <w:pStyle w:val="Listenabsatz"/>
        <w:numPr>
          <w:ilvl w:val="0"/>
          <w:numId w:val="34"/>
        </w:numPr>
      </w:pPr>
      <w:r>
        <w:t>Technische Unterstützung des Auftraggebers bei der Definition der Konfigurationsvorgaben</w:t>
      </w:r>
      <w:bookmarkStart w:id="93" w:name="Projektbasierter_Rollout"/>
      <w:bookmarkEnd w:id="57"/>
      <w:bookmarkEnd w:id="58"/>
      <w:bookmarkEnd w:id="93"/>
    </w:p>
    <w:sectPr w:rsidR="00B54728">
      <w:footerReference w:type="even" r:id="rId13"/>
      <w:footerReference w:type="default" r:id="rId14"/>
      <w:footerReference w:type="first" r:id="rId15"/>
      <w:pgSz w:w="11906" w:h="16838"/>
      <w:pgMar w:top="1418" w:right="1418" w:bottom="1134" w:left="1418" w:header="709"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C35EF" w14:textId="77777777" w:rsidR="00BD4D3A" w:rsidRDefault="00BD4D3A">
      <w:pPr>
        <w:spacing w:after="0" w:line="240" w:lineRule="auto"/>
      </w:pPr>
      <w:r>
        <w:separator/>
      </w:r>
    </w:p>
  </w:endnote>
  <w:endnote w:type="continuationSeparator" w:id="0">
    <w:p w14:paraId="5F47736D" w14:textId="77777777" w:rsidR="00BD4D3A" w:rsidRDefault="00BD4D3A">
      <w:pPr>
        <w:spacing w:after="0" w:line="240" w:lineRule="auto"/>
      </w:pPr>
      <w:r>
        <w:continuationSeparator/>
      </w:r>
    </w:p>
  </w:endnote>
  <w:endnote w:type="continuationNotice" w:id="1">
    <w:p w14:paraId="25EE55A5" w14:textId="77777777" w:rsidR="00BD4D3A" w:rsidRDefault="00BD4D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2A89A" w14:textId="77777777" w:rsidR="00B54728" w:rsidRDefault="00F66470">
    <w:pPr>
      <w:pStyle w:val="Fuzeile"/>
    </w:pPr>
    <w:r>
      <w:rPr>
        <w:noProof/>
        <w:lang w:eastAsia="de-DE"/>
      </w:rPr>
      <mc:AlternateContent>
        <mc:Choice Requires="wps">
          <w:drawing>
            <wp:anchor distT="0" distB="0" distL="0" distR="0" simplePos="0" relativeHeight="251658242" behindDoc="0" locked="0" layoutInCell="1" allowOverlap="1" wp14:anchorId="5AF75153" wp14:editId="5CF7B92A">
              <wp:simplePos x="0" y="0"/>
              <wp:positionH relativeFrom="page">
                <wp:align>left</wp:align>
              </wp:positionH>
              <wp:positionV relativeFrom="page">
                <wp:align>bottom</wp:align>
              </wp:positionV>
              <wp:extent cx="1903095" cy="368935"/>
              <wp:effectExtent l="0" t="0" r="1905" b="0"/>
              <wp:wrapNone/>
              <wp:docPr id="1" name="Textfeld 5" descr="vdek-Klassifikationsstufe: Intern"/>
              <wp:cNvGraphicFramePr/>
              <a:graphic xmlns:a="http://schemas.openxmlformats.org/drawingml/2006/main">
                <a:graphicData uri="http://schemas.microsoft.com/office/word/2010/wordprocessingShape">
                  <wps:wsp>
                    <wps:cNvSpPr txBox="1"/>
                    <wps:spPr bwMode="auto">
                      <a:xfrm>
                        <a:off x="0" y="0"/>
                        <a:ext cx="1903095" cy="368935"/>
                      </a:xfrm>
                      <a:prstGeom prst="rect">
                        <a:avLst/>
                      </a:prstGeom>
                      <a:noFill/>
                      <a:ln>
                        <a:noFill/>
                      </a:ln>
                    </wps:spPr>
                    <wps:txbx>
                      <w:txbxContent>
                        <w:p w14:paraId="48F95471" w14:textId="77777777" w:rsidR="00B54728" w:rsidRDefault="00F66470">
                          <w:pPr>
                            <w:spacing w:after="0"/>
                            <w:rPr>
                              <w:rFonts w:ascii="Calibri" w:eastAsia="Calibri" w:hAnsi="Calibri" w:cs="Calibri"/>
                              <w:color w:val="000000"/>
                              <w:sz w:val="20"/>
                              <w:szCs w:val="20"/>
                            </w:rPr>
                          </w:pPr>
                          <w:r>
                            <w:rPr>
                              <w:rFonts w:ascii="Calibri" w:eastAsia="Calibri" w:hAnsi="Calibri" w:cs="Calibri"/>
                              <w:color w:val="000000"/>
                              <w:sz w:val="20"/>
                              <w:szCs w:val="20"/>
                            </w:rPr>
                            <w:t>vdek-Klassifikationsstufe: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feld 5" o:spid="_x0000_s1026" type="#_x0000_t202" alt="vdek-Klassifikationsstufe: Intern" style="position:absolute;margin-left:0;margin-top:0;width:149.85pt;height:29.0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" filled="f" stroked="f">
              <v:textbox style="mso-fit-shape-to-text:t" inset="20pt,0,0,15pt">
                <w:txbxContent>
                  <w:p w14:paraId="21F16A73" w14:textId="77777777" w:rsidR="00B54728" w:rsidRDefault="00F66470">
                    <w:pPr>
                      <w:spacing w:after="0"/>
                      <w:rPr>
                        <w:rFonts w:ascii="Calibri" w:eastAsia="Calibri" w:hAnsi="Calibri" w:cs="Calibri"/>
                        <w:color w:val="000000"/>
                        <w:sz w:val="20"/>
                        <w:szCs w:val="20"/>
                      </w:rPr>
                    </w:pPr>
                    <w:r>
                      <w:rPr>
                        <w:rFonts w:ascii="Calibri" w:eastAsia="Calibri" w:hAnsi="Calibri" w:cs="Calibri"/>
                        <w:color w:val="000000"/>
                        <w:sz w:val="20"/>
                        <w:szCs w:val="20"/>
                      </w:rPr>
                      <w:t>vdek-Klassifikationsstufe: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0F29E" w14:textId="77777777" w:rsidR="00B54728" w:rsidRDefault="00B54728">
    <w:pPr>
      <w:pStyle w:val="Fuzeile"/>
      <w:jc w:val="center"/>
    </w:pPr>
  </w:p>
  <w:p w14:paraId="5E384793" w14:textId="77777777" w:rsidR="00B54728" w:rsidRDefault="00F66470">
    <w:pPr>
      <w:pStyle w:val="Fuzeile"/>
      <w:jc w:val="center"/>
    </w:pPr>
    <w:r>
      <w:t xml:space="preserve">Seite </w:t>
    </w:r>
    <w:sdt>
      <w:sdtPr>
        <w:id w:val="287165022"/>
        <w:docPartObj>
          <w:docPartGallery w:val="Page Numbers (Bottom of Page)"/>
          <w:docPartUnique/>
        </w:docPartObj>
      </w:sdtPr>
      <w:sdtEndPr/>
      <w:sdtContent>
        <w:r>
          <w:fldChar w:fldCharType="begin"/>
        </w:r>
        <w:r>
          <w:instrText>PAGE   \* MERGEFORMAT</w:instrText>
        </w:r>
        <w:r>
          <w:fldChar w:fldCharType="separate"/>
        </w:r>
        <w:r>
          <w:t>15</w:t>
        </w:r>
        <w:r>
          <w:fldChar w:fldCharType="end"/>
        </w:r>
      </w:sdtContent>
    </w:sdt>
  </w:p>
  <w:p w14:paraId="301ECABD" w14:textId="77777777" w:rsidR="00B54728" w:rsidRDefault="00B5472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E90E" w14:textId="77777777" w:rsidR="00B54728" w:rsidRDefault="00F66470">
    <w:pPr>
      <w:pStyle w:val="Fuzeile"/>
    </w:pPr>
    <w:r>
      <w:rPr>
        <w:noProof/>
        <w:lang w:eastAsia="de-DE"/>
      </w:rPr>
      <mc:AlternateContent>
        <mc:Choice Requires="wps">
          <w:drawing>
            <wp:anchor distT="0" distB="0" distL="0" distR="0" simplePos="0" relativeHeight="251658243" behindDoc="0" locked="0" layoutInCell="1" allowOverlap="1" wp14:anchorId="26875C32" wp14:editId="31E8BF22">
              <wp:simplePos x="0" y="0"/>
              <wp:positionH relativeFrom="page">
                <wp:align>left</wp:align>
              </wp:positionH>
              <wp:positionV relativeFrom="page">
                <wp:align>bottom</wp:align>
              </wp:positionV>
              <wp:extent cx="1903095" cy="368935"/>
              <wp:effectExtent l="0" t="0" r="1905" b="0"/>
              <wp:wrapNone/>
              <wp:docPr id="2" name="Textfeld 4" descr="vdek-Klassifikationsstufe: Intern"/>
              <wp:cNvGraphicFramePr/>
              <a:graphic xmlns:a="http://schemas.openxmlformats.org/drawingml/2006/main">
                <a:graphicData uri="http://schemas.microsoft.com/office/word/2010/wordprocessingShape">
                  <wps:wsp>
                    <wps:cNvSpPr txBox="1"/>
                    <wps:spPr bwMode="auto">
                      <a:xfrm>
                        <a:off x="0" y="0"/>
                        <a:ext cx="1903095" cy="368935"/>
                      </a:xfrm>
                      <a:prstGeom prst="rect">
                        <a:avLst/>
                      </a:prstGeom>
                      <a:noFill/>
                      <a:ln>
                        <a:noFill/>
                      </a:ln>
                    </wps:spPr>
                    <wps:txbx>
                      <w:txbxContent>
                        <w:p w14:paraId="6B4C7A70" w14:textId="77777777" w:rsidR="00B54728" w:rsidRDefault="00F66470">
                          <w:pPr>
                            <w:spacing w:after="0"/>
                            <w:rPr>
                              <w:rFonts w:ascii="Calibri" w:eastAsia="Calibri" w:hAnsi="Calibri" w:cs="Calibri"/>
                              <w:color w:val="000000"/>
                              <w:sz w:val="20"/>
                              <w:szCs w:val="20"/>
                            </w:rPr>
                          </w:pPr>
                          <w:r>
                            <w:rPr>
                              <w:rFonts w:ascii="Calibri" w:eastAsia="Calibri" w:hAnsi="Calibri" w:cs="Calibri"/>
                              <w:color w:val="000000"/>
                              <w:sz w:val="20"/>
                              <w:szCs w:val="20"/>
                            </w:rPr>
                            <w:t>vdek-Klassifikationsstufe: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feld 4" o:spid="_x0000_s1027" type="#_x0000_t202" alt="vdek-Klassifikationsstufe: Intern" style="position:absolute;margin-left:0;margin-top:0;width:149.85pt;height:29.0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" filled="f" stroked="f">
              <v:textbox style="mso-fit-shape-to-text:t" inset="20pt,0,0,15pt">
                <w:txbxContent>
                  <w:p w14:paraId="7B7CED64" w14:textId="77777777" w:rsidR="00B54728" w:rsidRDefault="00F66470">
                    <w:pPr>
                      <w:spacing w:after="0"/>
                      <w:rPr>
                        <w:rFonts w:ascii="Calibri" w:eastAsia="Calibri" w:hAnsi="Calibri" w:cs="Calibri"/>
                        <w:color w:val="000000"/>
                        <w:sz w:val="20"/>
                        <w:szCs w:val="20"/>
                      </w:rPr>
                    </w:pPr>
                    <w:r>
                      <w:rPr>
                        <w:rFonts w:ascii="Calibri" w:eastAsia="Calibri" w:hAnsi="Calibri" w:cs="Calibri"/>
                        <w:color w:val="000000"/>
                        <w:sz w:val="20"/>
                        <w:szCs w:val="20"/>
                      </w:rPr>
                      <w:t>vdek-Klassifikationsstufe: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B5FF9" w14:textId="77777777" w:rsidR="00BD4D3A" w:rsidRDefault="00BD4D3A">
      <w:pPr>
        <w:spacing w:after="0" w:line="240" w:lineRule="auto"/>
      </w:pPr>
      <w:r>
        <w:separator/>
      </w:r>
    </w:p>
  </w:footnote>
  <w:footnote w:type="continuationSeparator" w:id="0">
    <w:p w14:paraId="4A5E638D" w14:textId="77777777" w:rsidR="00BD4D3A" w:rsidRDefault="00BD4D3A">
      <w:pPr>
        <w:spacing w:after="0" w:line="240" w:lineRule="auto"/>
      </w:pPr>
      <w:r>
        <w:continuationSeparator/>
      </w:r>
    </w:p>
  </w:footnote>
  <w:footnote w:type="continuationNotice" w:id="1">
    <w:p w14:paraId="72BF3744" w14:textId="77777777" w:rsidR="00BD4D3A" w:rsidRDefault="00BD4D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66045"/>
    <w:multiLevelType w:val="multilevel"/>
    <w:tmpl w:val="46F8FE74"/>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3A01AE2"/>
    <w:multiLevelType w:val="multilevel"/>
    <w:tmpl w:val="AD24C1B8"/>
    <w:lvl w:ilvl="0">
      <w:start w:val="1"/>
      <w:numFmt w:val="bullet"/>
      <w:pStyle w:val="Auzhlung3"/>
      <w:lvlText w:val=""/>
      <w:lvlJc w:val="left"/>
      <w:pPr>
        <w:tabs>
          <w:tab w:val="num" w:pos="1851"/>
        </w:tabs>
        <w:ind w:left="1701" w:hanging="210"/>
      </w:pPr>
      <w:rPr>
        <w:rFonts w:ascii="Wingdings" w:hAnsi="Wingdings" w:hint="default"/>
      </w:rPr>
    </w:lvl>
    <w:lvl w:ilvl="1">
      <w:start w:val="1"/>
      <w:numFmt w:val="bullet"/>
      <w:lvlText w:val="o"/>
      <w:lvlJc w:val="left"/>
      <w:pPr>
        <w:tabs>
          <w:tab w:val="num" w:pos="2498"/>
        </w:tabs>
        <w:ind w:left="2498" w:hanging="360"/>
      </w:pPr>
      <w:rPr>
        <w:rFonts w:ascii="Courier New" w:hAnsi="Courier New" w:hint="default"/>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rPr>
    </w:lvl>
    <w:lvl w:ilvl="4">
      <w:start w:val="1"/>
      <w:numFmt w:val="bullet"/>
      <w:lvlText w:val="o"/>
      <w:lvlJc w:val="left"/>
      <w:pPr>
        <w:tabs>
          <w:tab w:val="num" w:pos="4658"/>
        </w:tabs>
        <w:ind w:left="4658" w:hanging="360"/>
      </w:pPr>
      <w:rPr>
        <w:rFonts w:ascii="Courier New" w:hAnsi="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2" w15:restartNumberingAfterBreak="0">
    <w:nsid w:val="14B753FE"/>
    <w:multiLevelType w:val="multilevel"/>
    <w:tmpl w:val="9C74A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472567"/>
    <w:multiLevelType w:val="multilevel"/>
    <w:tmpl w:val="3760BE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AC6B04"/>
    <w:multiLevelType w:val="multilevel"/>
    <w:tmpl w:val="DE9A4C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945AB1"/>
    <w:multiLevelType w:val="multilevel"/>
    <w:tmpl w:val="D8C8280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3601D4"/>
    <w:multiLevelType w:val="multilevel"/>
    <w:tmpl w:val="026658B6"/>
    <w:lvl w:ilvl="0">
      <w:numFmt w:val="bullet"/>
      <w:lvlText w:val="-"/>
      <w:lvlJc w:val="left"/>
      <w:pPr>
        <w:ind w:left="720" w:hanging="360"/>
      </w:pPr>
      <w:rPr>
        <w:rFonts w:ascii="Verdana" w:eastAsia="Times New Roman" w:hAnsi="Verdana" w:cs="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655F27"/>
    <w:multiLevelType w:val="multilevel"/>
    <w:tmpl w:val="F6047C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BA1876"/>
    <w:multiLevelType w:val="multilevel"/>
    <w:tmpl w:val="3BE2D5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36034F"/>
    <w:multiLevelType w:val="multilevel"/>
    <w:tmpl w:val="CBC26DE6"/>
    <w:lvl w:ilvl="0">
      <w:start w:val="1"/>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B22D06"/>
    <w:multiLevelType w:val="multilevel"/>
    <w:tmpl w:val="D9AAD948"/>
    <w:lvl w:ilvl="0">
      <w:numFmt w:val="bullet"/>
      <w:lvlText w:val="-"/>
      <w:lvlJc w:val="left"/>
      <w:pPr>
        <w:ind w:left="720" w:hanging="360"/>
      </w:pPr>
      <w:rPr>
        <w:rFonts w:ascii="Verdana" w:eastAsia="Times New Roman" w:hAnsi="Verdana" w:cs="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067BE"/>
    <w:multiLevelType w:val="multilevel"/>
    <w:tmpl w:val="99A833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C1E2727"/>
    <w:multiLevelType w:val="multilevel"/>
    <w:tmpl w:val="B4907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345AD4"/>
    <w:multiLevelType w:val="multilevel"/>
    <w:tmpl w:val="367C8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804085"/>
    <w:multiLevelType w:val="multilevel"/>
    <w:tmpl w:val="AA16B168"/>
    <w:lvl w:ilvl="0">
      <w:start w:val="1"/>
      <w:numFmt w:val="bullet"/>
      <w:pStyle w:val="Aufzhlung1"/>
      <w:lvlText w:val=""/>
      <w:lvlJc w:val="left"/>
      <w:pPr>
        <w:tabs>
          <w:tab w:val="num" w:pos="360"/>
        </w:tabs>
        <w:ind w:left="360" w:hanging="360"/>
      </w:pPr>
      <w:rPr>
        <w:rFonts w:ascii="Wingdings" w:hAnsi="Wingding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34252B89"/>
    <w:multiLevelType w:val="multilevel"/>
    <w:tmpl w:val="AADEA9B0"/>
    <w:lvl w:ilvl="0">
      <w:numFmt w:val="bullet"/>
      <w:lvlText w:val="-"/>
      <w:lvlJc w:val="left"/>
      <w:pPr>
        <w:ind w:left="720" w:hanging="360"/>
      </w:pPr>
      <w:rPr>
        <w:rFonts w:ascii="Verdana" w:eastAsia="Times New Roman" w:hAnsi="Verdana" w:cs="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D15D0B"/>
    <w:multiLevelType w:val="multilevel"/>
    <w:tmpl w:val="AC109468"/>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45A7BBD"/>
    <w:multiLevelType w:val="multilevel"/>
    <w:tmpl w:val="3BD2672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4465CD"/>
    <w:multiLevelType w:val="multilevel"/>
    <w:tmpl w:val="C7267542"/>
    <w:lvl w:ilvl="0">
      <w:start w:val="1"/>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1F0DC3"/>
    <w:multiLevelType w:val="multilevel"/>
    <w:tmpl w:val="5FDC101A"/>
    <w:lvl w:ilvl="0">
      <w:start w:val="1"/>
      <w:numFmt w:val="decimal"/>
      <w:pStyle w:val="Gliederung1"/>
      <w:lvlText w:val="%1."/>
      <w:lvlJc w:val="left"/>
      <w:pPr>
        <w:tabs>
          <w:tab w:val="num" w:pos="0"/>
        </w:tabs>
        <w:ind w:left="0" w:hanging="851"/>
      </w:pPr>
      <w:rPr>
        <w:rFonts w:ascii="Verdana" w:hAnsi="Verdana" w:hint="default"/>
        <w:b/>
        <w:i w:val="0"/>
        <w:sz w:val="22"/>
      </w:rPr>
    </w:lvl>
    <w:lvl w:ilvl="1">
      <w:start w:val="1"/>
      <w:numFmt w:val="decimal"/>
      <w:lvlRestart w:val="0"/>
      <w:lvlText w:val="%2.%1."/>
      <w:lvlJc w:val="left"/>
      <w:pPr>
        <w:tabs>
          <w:tab w:val="num" w:pos="851"/>
        </w:tabs>
        <w:ind w:left="851" w:hanging="851"/>
      </w:pPr>
      <w:rPr>
        <w:rFonts w:ascii="Arial" w:hAnsi="Arial" w:hint="default"/>
        <w:b/>
        <w:i w:val="0"/>
        <w:sz w:val="22"/>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0" w15:restartNumberingAfterBreak="0">
    <w:nsid w:val="4E740D63"/>
    <w:multiLevelType w:val="multilevel"/>
    <w:tmpl w:val="F1BC6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AC4FCF"/>
    <w:multiLevelType w:val="multilevel"/>
    <w:tmpl w:val="ADA2A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36D52BE"/>
    <w:multiLevelType w:val="multilevel"/>
    <w:tmpl w:val="28F82E14"/>
    <w:lvl w:ilvl="0">
      <w:numFmt w:val="bullet"/>
      <w:lvlText w:val="-"/>
      <w:lvlJc w:val="left"/>
      <w:pPr>
        <w:ind w:left="720" w:hanging="360"/>
      </w:pPr>
      <w:rPr>
        <w:rFonts w:ascii="Verdana" w:eastAsia="Times New Roman" w:hAnsi="Verdana" w:cs="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8951807"/>
    <w:multiLevelType w:val="multilevel"/>
    <w:tmpl w:val="F7F05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752210"/>
    <w:multiLevelType w:val="multilevel"/>
    <w:tmpl w:val="1ABAA4CE"/>
    <w:lvl w:ilvl="0">
      <w:start w:val="1"/>
      <w:numFmt w:val="bullet"/>
      <w:lvlText w:val=""/>
      <w:lvlJc w:val="left"/>
      <w:pPr>
        <w:ind w:left="1250" w:hanging="360"/>
      </w:pPr>
      <w:rPr>
        <w:rFonts w:ascii="Symbol" w:hAnsi="Symbol" w:hint="default"/>
      </w:rPr>
    </w:lvl>
    <w:lvl w:ilvl="1">
      <w:start w:val="1"/>
      <w:numFmt w:val="bullet"/>
      <w:lvlText w:val="o"/>
      <w:lvlJc w:val="left"/>
      <w:pPr>
        <w:ind w:left="1970" w:hanging="360"/>
      </w:pPr>
      <w:rPr>
        <w:rFonts w:ascii="Courier New" w:hAnsi="Courier New" w:cs="Courier New" w:hint="default"/>
      </w:rPr>
    </w:lvl>
    <w:lvl w:ilvl="2">
      <w:start w:val="1"/>
      <w:numFmt w:val="bullet"/>
      <w:lvlText w:val=""/>
      <w:lvlJc w:val="left"/>
      <w:pPr>
        <w:ind w:left="2690" w:hanging="360"/>
      </w:pPr>
      <w:rPr>
        <w:rFonts w:ascii="Wingdings" w:hAnsi="Wingdings" w:hint="default"/>
      </w:rPr>
    </w:lvl>
    <w:lvl w:ilvl="3">
      <w:start w:val="1"/>
      <w:numFmt w:val="bullet"/>
      <w:lvlText w:val=""/>
      <w:lvlJc w:val="left"/>
      <w:pPr>
        <w:ind w:left="3410" w:hanging="360"/>
      </w:pPr>
      <w:rPr>
        <w:rFonts w:ascii="Symbol" w:hAnsi="Symbol" w:hint="default"/>
      </w:rPr>
    </w:lvl>
    <w:lvl w:ilvl="4">
      <w:start w:val="1"/>
      <w:numFmt w:val="bullet"/>
      <w:lvlText w:val="o"/>
      <w:lvlJc w:val="left"/>
      <w:pPr>
        <w:ind w:left="4130" w:hanging="360"/>
      </w:pPr>
      <w:rPr>
        <w:rFonts w:ascii="Courier New" w:hAnsi="Courier New" w:cs="Courier New" w:hint="default"/>
      </w:rPr>
    </w:lvl>
    <w:lvl w:ilvl="5">
      <w:start w:val="1"/>
      <w:numFmt w:val="bullet"/>
      <w:lvlText w:val=""/>
      <w:lvlJc w:val="left"/>
      <w:pPr>
        <w:ind w:left="4850" w:hanging="360"/>
      </w:pPr>
      <w:rPr>
        <w:rFonts w:ascii="Wingdings" w:hAnsi="Wingdings" w:hint="default"/>
      </w:rPr>
    </w:lvl>
    <w:lvl w:ilvl="6">
      <w:start w:val="1"/>
      <w:numFmt w:val="bullet"/>
      <w:lvlText w:val=""/>
      <w:lvlJc w:val="left"/>
      <w:pPr>
        <w:ind w:left="5570" w:hanging="360"/>
      </w:pPr>
      <w:rPr>
        <w:rFonts w:ascii="Symbol" w:hAnsi="Symbol" w:hint="default"/>
      </w:rPr>
    </w:lvl>
    <w:lvl w:ilvl="7">
      <w:start w:val="1"/>
      <w:numFmt w:val="bullet"/>
      <w:lvlText w:val="o"/>
      <w:lvlJc w:val="left"/>
      <w:pPr>
        <w:ind w:left="6290" w:hanging="360"/>
      </w:pPr>
      <w:rPr>
        <w:rFonts w:ascii="Courier New" w:hAnsi="Courier New" w:cs="Courier New" w:hint="default"/>
      </w:rPr>
    </w:lvl>
    <w:lvl w:ilvl="8">
      <w:start w:val="1"/>
      <w:numFmt w:val="bullet"/>
      <w:lvlText w:val=""/>
      <w:lvlJc w:val="left"/>
      <w:pPr>
        <w:ind w:left="7010" w:hanging="360"/>
      </w:pPr>
      <w:rPr>
        <w:rFonts w:ascii="Wingdings" w:hAnsi="Wingdings" w:hint="default"/>
      </w:rPr>
    </w:lvl>
  </w:abstractNum>
  <w:abstractNum w:abstractNumId="25" w15:restartNumberingAfterBreak="0">
    <w:nsid w:val="5DBF2F5F"/>
    <w:multiLevelType w:val="multilevel"/>
    <w:tmpl w:val="231C5FF0"/>
    <w:lvl w:ilvl="0">
      <w:start w:val="1"/>
      <w:numFmt w:val="decimal"/>
      <w:pStyle w:val="berschrift1"/>
      <w:lvlText w:val="%1."/>
      <w:lvlJc w:val="left"/>
      <w:pPr>
        <w:ind w:left="432" w:hanging="432"/>
      </w:pPr>
      <w:rPr>
        <w:rFonts w:hint="default"/>
      </w:rPr>
    </w:lvl>
    <w:lvl w:ilvl="1">
      <w:start w:val="1"/>
      <w:numFmt w:val="decimal"/>
      <w:pStyle w:val="berschrift2"/>
      <w:lvlText w:val="%1.%2 "/>
      <w:lvlJc w:val="left"/>
      <w:pPr>
        <w:ind w:left="720" w:hanging="720"/>
      </w:pPr>
      <w:rPr>
        <w:rFonts w:hint="default"/>
      </w:rPr>
    </w:lvl>
    <w:lvl w:ilvl="2">
      <w:start w:val="1"/>
      <w:numFmt w:val="decimal"/>
      <w:pStyle w:val="berschrift3"/>
      <w:suff w:val="nothing"/>
      <w:lvlText w:val="%1.%2.%3 "/>
      <w:lvlJc w:val="left"/>
      <w:pPr>
        <w:ind w:left="720" w:hanging="720"/>
      </w:pPr>
      <w:rPr>
        <w:rFonts w:ascii="Verdana" w:hAnsi="Verdana" w:hint="default"/>
        <w:b w:val="0"/>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14:ligatures w14:val="none"/>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6" w15:restartNumberingAfterBreak="0">
    <w:nsid w:val="5F591F14"/>
    <w:multiLevelType w:val="multilevel"/>
    <w:tmpl w:val="27E6FAF8"/>
    <w:lvl w:ilvl="0">
      <w:numFmt w:val="bullet"/>
      <w:lvlText w:val="-"/>
      <w:lvlJc w:val="left"/>
      <w:pPr>
        <w:ind w:left="720" w:hanging="360"/>
      </w:pPr>
      <w:rPr>
        <w:rFonts w:ascii="Lucida Sans Unicode" w:eastAsia="Aptos" w:hAnsi="Lucida Sans Unicode" w:cs="Lucida Sans Unicod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777189"/>
    <w:multiLevelType w:val="multilevel"/>
    <w:tmpl w:val="D93EA62A"/>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6B20603"/>
    <w:multiLevelType w:val="multilevel"/>
    <w:tmpl w:val="0E9CDB48"/>
    <w:lvl w:ilvl="0">
      <w:start w:val="1618"/>
      <w:numFmt w:val="decimal"/>
      <w:lvlText w:val="%1"/>
      <w:lvlJc w:val="left"/>
      <w:pPr>
        <w:ind w:left="792" w:hanging="43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1316BF"/>
    <w:multiLevelType w:val="multilevel"/>
    <w:tmpl w:val="587E4502"/>
    <w:lvl w:ilvl="0">
      <w:numFmt w:val="bullet"/>
      <w:lvlText w:val="-"/>
      <w:lvlJc w:val="left"/>
      <w:pPr>
        <w:ind w:left="720" w:hanging="360"/>
      </w:pPr>
      <w:rPr>
        <w:rFonts w:ascii="Verdana" w:eastAsia="Times New Roman" w:hAnsi="Verdana" w:cs="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AA0491"/>
    <w:multiLevelType w:val="multilevel"/>
    <w:tmpl w:val="57CECF14"/>
    <w:lvl w:ilvl="0">
      <w:start w:val="1"/>
      <w:numFmt w:val="decimal"/>
      <w:pStyle w:val="Gliederung"/>
      <w:lvlText w:val="%1."/>
      <w:lvlJc w:val="left"/>
      <w:pPr>
        <w:tabs>
          <w:tab w:val="num" w:pos="851"/>
        </w:tabs>
        <w:ind w:left="851" w:hanging="851"/>
      </w:pPr>
      <w:rPr>
        <w:rFonts w:ascii="Verdana" w:hAnsi="Verdana" w:hint="default"/>
        <w:b/>
        <w:i w:val="0"/>
        <w:sz w:val="22"/>
      </w:rPr>
    </w:lvl>
    <w:lvl w:ilvl="1">
      <w:start w:val="1"/>
      <w:numFmt w:val="decimal"/>
      <w:lvlText w:val="%1.%2"/>
      <w:lvlJc w:val="left"/>
      <w:pPr>
        <w:tabs>
          <w:tab w:val="num" w:pos="851"/>
        </w:tabs>
        <w:ind w:left="851" w:hanging="851"/>
      </w:pPr>
      <w:rPr>
        <w:rFonts w:ascii="Verdana" w:hAnsi="Verdana" w:hint="default"/>
        <w:b/>
        <w:i w:val="0"/>
        <w:sz w:val="22"/>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1931"/>
        </w:tabs>
        <w:ind w:left="1715" w:hanging="864"/>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31" w15:restartNumberingAfterBreak="0">
    <w:nsid w:val="6CEB5085"/>
    <w:multiLevelType w:val="multilevel"/>
    <w:tmpl w:val="408C9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DA40994"/>
    <w:multiLevelType w:val="multilevel"/>
    <w:tmpl w:val="3E52460C"/>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16E50A6"/>
    <w:multiLevelType w:val="multilevel"/>
    <w:tmpl w:val="C8BA1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2E75B75"/>
    <w:multiLevelType w:val="multilevel"/>
    <w:tmpl w:val="5790AF0E"/>
    <w:lvl w:ilvl="0">
      <w:start w:val="1"/>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7A48C9"/>
    <w:multiLevelType w:val="multilevel"/>
    <w:tmpl w:val="18C46B5A"/>
    <w:lvl w:ilvl="0">
      <w:start w:val="1"/>
      <w:numFmt w:val="bullet"/>
      <w:pStyle w:val="A1111berschif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pStyle w:val="A1111berschif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D9457F1"/>
    <w:multiLevelType w:val="multilevel"/>
    <w:tmpl w:val="3DB495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B22847"/>
    <w:multiLevelType w:val="multilevel"/>
    <w:tmpl w:val="89A86B2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3514439">
    <w:abstractNumId w:val="25"/>
  </w:num>
  <w:num w:numId="2" w16cid:durableId="1953894945">
    <w:abstractNumId w:val="25"/>
  </w:num>
  <w:num w:numId="3" w16cid:durableId="1250890394">
    <w:abstractNumId w:val="14"/>
  </w:num>
  <w:num w:numId="4" w16cid:durableId="835612906">
    <w:abstractNumId w:val="30"/>
  </w:num>
  <w:num w:numId="5" w16cid:durableId="662397835">
    <w:abstractNumId w:val="1"/>
  </w:num>
  <w:num w:numId="6" w16cid:durableId="1163856408">
    <w:abstractNumId w:val="19"/>
  </w:num>
  <w:num w:numId="7" w16cid:durableId="102768184">
    <w:abstractNumId w:val="5"/>
  </w:num>
  <w:num w:numId="8" w16cid:durableId="1562016522">
    <w:abstractNumId w:val="23"/>
  </w:num>
  <w:num w:numId="9" w16cid:durableId="739013120">
    <w:abstractNumId w:val="7"/>
  </w:num>
  <w:num w:numId="10" w16cid:durableId="909509177">
    <w:abstractNumId w:val="9"/>
  </w:num>
  <w:num w:numId="11" w16cid:durableId="358050698">
    <w:abstractNumId w:val="8"/>
  </w:num>
  <w:num w:numId="12" w16cid:durableId="1103376856">
    <w:abstractNumId w:val="16"/>
  </w:num>
  <w:num w:numId="13" w16cid:durableId="899941737">
    <w:abstractNumId w:val="4"/>
  </w:num>
  <w:num w:numId="14" w16cid:durableId="1444769924">
    <w:abstractNumId w:val="36"/>
  </w:num>
  <w:num w:numId="15" w16cid:durableId="1455366511">
    <w:abstractNumId w:val="3"/>
  </w:num>
  <w:num w:numId="16" w16cid:durableId="1049231569">
    <w:abstractNumId w:val="21"/>
  </w:num>
  <w:num w:numId="17" w16cid:durableId="1169951314">
    <w:abstractNumId w:val="37"/>
  </w:num>
  <w:num w:numId="18" w16cid:durableId="893081110">
    <w:abstractNumId w:val="2"/>
  </w:num>
  <w:num w:numId="19" w16cid:durableId="993264349">
    <w:abstractNumId w:val="0"/>
  </w:num>
  <w:num w:numId="20" w16cid:durableId="824277503">
    <w:abstractNumId w:val="12"/>
  </w:num>
  <w:num w:numId="21" w16cid:durableId="802112001">
    <w:abstractNumId w:val="27"/>
  </w:num>
  <w:num w:numId="22" w16cid:durableId="1311204051">
    <w:abstractNumId w:val="26"/>
  </w:num>
  <w:num w:numId="23" w16cid:durableId="1598901673">
    <w:abstractNumId w:val="32"/>
  </w:num>
  <w:num w:numId="24" w16cid:durableId="619921790">
    <w:abstractNumId w:val="28"/>
  </w:num>
  <w:num w:numId="25" w16cid:durableId="1615551559">
    <w:abstractNumId w:val="31"/>
  </w:num>
  <w:num w:numId="26" w16cid:durableId="900680214">
    <w:abstractNumId w:val="17"/>
  </w:num>
  <w:num w:numId="27" w16cid:durableId="186600596">
    <w:abstractNumId w:val="13"/>
  </w:num>
  <w:num w:numId="28" w16cid:durableId="1749301375">
    <w:abstractNumId w:val="18"/>
  </w:num>
  <w:num w:numId="29" w16cid:durableId="1424493865">
    <w:abstractNumId w:val="34"/>
  </w:num>
  <w:num w:numId="30" w16cid:durableId="728653686">
    <w:abstractNumId w:val="24"/>
  </w:num>
  <w:num w:numId="31" w16cid:durableId="960764719">
    <w:abstractNumId w:val="20"/>
  </w:num>
  <w:num w:numId="32" w16cid:durableId="1717267213">
    <w:abstractNumId w:val="14"/>
  </w:num>
  <w:num w:numId="33" w16cid:durableId="1332366700">
    <w:abstractNumId w:val="35"/>
  </w:num>
  <w:num w:numId="34" w16cid:durableId="965283190">
    <w:abstractNumId w:val="6"/>
  </w:num>
  <w:num w:numId="35" w16cid:durableId="418479910">
    <w:abstractNumId w:val="33"/>
  </w:num>
  <w:num w:numId="36" w16cid:durableId="844784333">
    <w:abstractNumId w:val="11"/>
  </w:num>
  <w:num w:numId="37" w16cid:durableId="1949925091">
    <w:abstractNumId w:val="22"/>
  </w:num>
  <w:num w:numId="38" w16cid:durableId="932011967">
    <w:abstractNumId w:val="29"/>
  </w:num>
  <w:num w:numId="39" w16cid:durableId="927814660">
    <w:abstractNumId w:val="10"/>
  </w:num>
  <w:num w:numId="40" w16cid:durableId="18583488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form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728"/>
    <w:rsid w:val="000565FF"/>
    <w:rsid w:val="00104439"/>
    <w:rsid w:val="00286127"/>
    <w:rsid w:val="00553EEF"/>
    <w:rsid w:val="005610B1"/>
    <w:rsid w:val="00595DE4"/>
    <w:rsid w:val="005D3E9D"/>
    <w:rsid w:val="006E7654"/>
    <w:rsid w:val="007B5D05"/>
    <w:rsid w:val="008741D7"/>
    <w:rsid w:val="009A1D37"/>
    <w:rsid w:val="00B54728"/>
    <w:rsid w:val="00BD4D3A"/>
    <w:rsid w:val="00CC3081"/>
    <w:rsid w:val="00D729AB"/>
    <w:rsid w:val="00E8242B"/>
    <w:rsid w:val="00E9242E"/>
    <w:rsid w:val="00F66470"/>
    <w:rsid w:val="00F74F1D"/>
    <w:rsid w:val="00F96E8F"/>
    <w:rsid w:val="00FF2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95C23"/>
  <w15:docId w15:val="{073E20B9-5CF0-43EC-9814-A82562280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pPr>
      <w:keepNext/>
      <w:keepLines/>
      <w:numPr>
        <w:numId w:val="2"/>
      </w:numPr>
      <w:spacing w:after="0"/>
      <w:outlineLvl w:val="0"/>
    </w:pPr>
    <w:rPr>
      <w:rFonts w:ascii="Verdana" w:eastAsiaTheme="majorEastAsia" w:hAnsi="Verdana" w:cstheme="majorBidi"/>
      <w:b/>
      <w:bCs/>
      <w:sz w:val="24"/>
      <w:szCs w:val="28"/>
    </w:rPr>
  </w:style>
  <w:style w:type="paragraph" w:styleId="berschrift2">
    <w:name w:val="heading 2"/>
    <w:basedOn w:val="Standard"/>
    <w:next w:val="Standard"/>
    <w:link w:val="berschrift2Zchn"/>
    <w:unhideWhenUsed/>
    <w:qFormat/>
    <w:pPr>
      <w:keepNext/>
      <w:keepLines/>
      <w:numPr>
        <w:ilvl w:val="1"/>
        <w:numId w:val="2"/>
      </w:numPr>
      <w:spacing w:before="200" w:after="0"/>
      <w:outlineLvl w:val="1"/>
    </w:pPr>
    <w:rPr>
      <w:rFonts w:ascii="Verdana" w:eastAsiaTheme="majorEastAsia" w:hAnsi="Verdana" w:cstheme="majorBidi"/>
      <w:bCs/>
      <w:szCs w:val="26"/>
    </w:rPr>
  </w:style>
  <w:style w:type="paragraph" w:styleId="berschrift3">
    <w:name w:val="heading 3"/>
    <w:basedOn w:val="Standard"/>
    <w:next w:val="Standard"/>
    <w:link w:val="berschrift3Zchn"/>
    <w:unhideWhenUsed/>
    <w:qFormat/>
    <w:pPr>
      <w:keepNext/>
      <w:keepLines/>
      <w:numPr>
        <w:ilvl w:val="2"/>
        <w:numId w:val="2"/>
      </w:numPr>
      <w:spacing w:before="200" w:after="0"/>
      <w:outlineLvl w:val="2"/>
    </w:pPr>
    <w:rPr>
      <w:rFonts w:ascii="Verdana" w:hAnsi="Verdana" w:cstheme="majorBidi"/>
      <w:bCs/>
    </w:rPr>
  </w:style>
  <w:style w:type="paragraph" w:styleId="berschrift4">
    <w:name w:val="heading 4"/>
    <w:basedOn w:val="Standard"/>
    <w:next w:val="Standard"/>
    <w:link w:val="berschrift4Zchn"/>
    <w:uiPriority w:val="9"/>
    <w:unhideWhenUsed/>
    <w:qFormat/>
    <w:pPr>
      <w:keepNext/>
      <w:keepLines/>
      <w:numPr>
        <w:ilvl w:val="3"/>
        <w:numId w:val="2"/>
      </w:numPr>
      <w:spacing w:before="200" w:after="0"/>
      <w:outlineLvl w:val="3"/>
    </w:pPr>
    <w:rPr>
      <w:rFonts w:ascii="Verdana" w:eastAsiaTheme="majorEastAsia" w:hAnsi="Verdana" w:cstheme="majorBidi"/>
      <w:bCs/>
      <w:iCs/>
    </w:rPr>
  </w:style>
  <w:style w:type="paragraph" w:styleId="berschrift5">
    <w:name w:val="heading 5"/>
    <w:basedOn w:val="Standard"/>
    <w:next w:val="Standard"/>
    <w:link w:val="berschrift5Zchn"/>
    <w:uiPriority w:val="9"/>
    <w:unhideWhenUsed/>
    <w:qFormat/>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itleChar">
    <w:name w:val="Title Char"/>
    <w:basedOn w:val="Absatz-Standardschriftart"/>
    <w:uiPriority w:val="10"/>
    <w:rPr>
      <w:rFonts w:ascii="Arial" w:eastAsia="Arial" w:hAnsi="Arial" w:cs="Arial"/>
      <w:spacing w:val="-10"/>
      <w:sz w:val="56"/>
      <w:szCs w:val="56"/>
    </w:rPr>
  </w:style>
  <w:style w:type="character" w:customStyle="1" w:styleId="SubtitleChar">
    <w:name w:val="Subtitle Char"/>
    <w:basedOn w:val="Absatz-Standardschriftart"/>
    <w:uiPriority w:val="11"/>
    <w:rPr>
      <w:color w:val="595959" w:themeColor="text1" w:themeTint="A6"/>
      <w:spacing w:val="15"/>
      <w:sz w:val="28"/>
      <w:szCs w:val="28"/>
    </w:rPr>
  </w:style>
  <w:style w:type="character" w:customStyle="1" w:styleId="QuoteChar">
    <w:name w:val="Quote Char"/>
    <w:basedOn w:val="Absatz-Standardschriftart"/>
    <w:uiPriority w:val="29"/>
    <w:rPr>
      <w:i/>
      <w:iCs/>
      <w:color w:val="404040" w:themeColor="text1" w:themeTint="BF"/>
    </w:rPr>
  </w:style>
  <w:style w:type="character" w:customStyle="1" w:styleId="IntenseQuoteChar">
    <w:name w:val="Intense Quote Char"/>
    <w:basedOn w:val="Absatz-Standardschriftart"/>
    <w:uiPriority w:val="30"/>
    <w:rPr>
      <w:i/>
      <w:iCs/>
      <w:color w:val="365F91" w:themeColor="accent1" w:themeShade="BF"/>
    </w:rPr>
  </w:style>
  <w:style w:type="character" w:customStyle="1" w:styleId="FootnoteTextChar">
    <w:name w:val="Footnote Text Char"/>
    <w:basedOn w:val="Absatz-Standardschriftart"/>
    <w:uiPriority w:val="99"/>
    <w:semiHidden/>
    <w:rPr>
      <w:sz w:val="20"/>
      <w:szCs w:val="20"/>
    </w:rPr>
  </w:style>
  <w:style w:type="character" w:customStyle="1" w:styleId="EndnoteTextChar">
    <w:name w:val="Endnote Text Char"/>
    <w:basedOn w:val="Absatz-Standardschriftart"/>
    <w:uiPriority w:val="99"/>
    <w:semiHidden/>
    <w:rPr>
      <w:sz w:val="20"/>
      <w:szCs w:val="20"/>
    </w:r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bsatz-Standardschriftart"/>
    <w:uiPriority w:val="9"/>
    <w:rPr>
      <w:rFonts w:ascii="Arial" w:eastAsia="Arial" w:hAnsi="Arial" w:cs="Arial"/>
      <w:color w:val="365F91" w:themeColor="accent1" w:themeShade="BF"/>
      <w:sz w:val="40"/>
      <w:szCs w:val="40"/>
    </w:rPr>
  </w:style>
  <w:style w:type="character" w:customStyle="1" w:styleId="Heading2Char">
    <w:name w:val="Heading 2 Char"/>
    <w:basedOn w:val="Absatz-Standardschriftart"/>
    <w:uiPriority w:val="9"/>
    <w:rPr>
      <w:rFonts w:ascii="Arial" w:eastAsia="Arial" w:hAnsi="Arial" w:cs="Arial"/>
      <w:color w:val="365F91" w:themeColor="accent1" w:themeShade="BF"/>
      <w:sz w:val="32"/>
      <w:szCs w:val="32"/>
    </w:rPr>
  </w:style>
  <w:style w:type="character" w:customStyle="1" w:styleId="Heading3Char">
    <w:name w:val="Heading 3 Char"/>
    <w:basedOn w:val="Absatz-Standardschriftart"/>
    <w:uiPriority w:val="9"/>
    <w:rPr>
      <w:rFonts w:ascii="Arial" w:eastAsia="Arial" w:hAnsi="Arial" w:cs="Arial"/>
      <w:color w:val="365F91" w:themeColor="accent1" w:themeShade="BF"/>
      <w:sz w:val="28"/>
      <w:szCs w:val="28"/>
    </w:rPr>
  </w:style>
  <w:style w:type="character" w:customStyle="1" w:styleId="Heading4Char">
    <w:name w:val="Heading 4 Char"/>
    <w:basedOn w:val="Absatz-Standardschriftart"/>
    <w:uiPriority w:val="9"/>
    <w:rPr>
      <w:rFonts w:ascii="Arial" w:eastAsia="Arial" w:hAnsi="Arial" w:cs="Arial"/>
      <w:i/>
      <w:iCs/>
      <w:color w:val="365F91" w:themeColor="accent1" w:themeShade="BF"/>
    </w:rPr>
  </w:style>
  <w:style w:type="character" w:customStyle="1" w:styleId="Heading5Char">
    <w:name w:val="Heading 5 Char"/>
    <w:basedOn w:val="Absatz-Standardschriftart"/>
    <w:uiPriority w:val="9"/>
    <w:rPr>
      <w:rFonts w:ascii="Arial" w:eastAsia="Arial" w:hAnsi="Arial" w:cs="Arial"/>
      <w:color w:val="365F91" w:themeColor="accent1" w:themeShade="BF"/>
    </w:rPr>
  </w:style>
  <w:style w:type="character" w:customStyle="1" w:styleId="Heading6Char">
    <w:name w:val="Heading 6 Char"/>
    <w:basedOn w:val="Absatz-Standardschriftart"/>
    <w:uiPriority w:val="9"/>
    <w:rPr>
      <w:rFonts w:ascii="Arial" w:eastAsia="Arial" w:hAnsi="Arial" w:cs="Arial"/>
      <w:i/>
      <w:iCs/>
      <w:color w:val="595959" w:themeColor="text1" w:themeTint="A6"/>
    </w:rPr>
  </w:style>
  <w:style w:type="character" w:customStyle="1" w:styleId="Heading7Char">
    <w:name w:val="Heading 7 Char"/>
    <w:basedOn w:val="Absatz-Standardschriftart"/>
    <w:uiPriority w:val="9"/>
    <w:rPr>
      <w:rFonts w:ascii="Arial" w:eastAsia="Arial" w:hAnsi="Arial" w:cs="Arial"/>
      <w:color w:val="595959" w:themeColor="text1" w:themeTint="A6"/>
    </w:rPr>
  </w:style>
  <w:style w:type="character" w:customStyle="1" w:styleId="Heading8Char">
    <w:name w:val="Heading 8 Char"/>
    <w:basedOn w:val="Absatz-Standardschriftart"/>
    <w:uiPriority w:val="9"/>
    <w:rPr>
      <w:rFonts w:ascii="Arial" w:eastAsia="Arial" w:hAnsi="Arial" w:cs="Arial"/>
      <w:i/>
      <w:iCs/>
      <w:color w:val="272727" w:themeColor="text1" w:themeTint="D8"/>
    </w:rPr>
  </w:style>
  <w:style w:type="character" w:customStyle="1" w:styleId="Heading9Char">
    <w:name w:val="Heading 9 Char"/>
    <w:basedOn w:val="Absatz-Standardschriftart"/>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365F91" w:themeColor="accent1" w:themeShade="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line="240" w:lineRule="auto"/>
    </w:pPr>
    <w:rPr>
      <w:i/>
      <w:iCs/>
      <w:color w:val="1F497D"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Platzhaltertext">
    <w:name w:val="Placeholder Text"/>
    <w:basedOn w:val="Absatz-Standardschriftart"/>
    <w:uiPriority w:val="99"/>
    <w:semiHidden/>
    <w:rPr>
      <w:color w:val="666666"/>
    </w:rPr>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uiPriority w:val="9"/>
    <w:rPr>
      <w:rFonts w:ascii="Verdana" w:eastAsiaTheme="majorEastAsia" w:hAnsi="Verdana" w:cstheme="majorBidi"/>
      <w:b/>
      <w:bCs/>
      <w:sz w:val="24"/>
      <w:szCs w:val="28"/>
    </w:rPr>
  </w:style>
  <w:style w:type="character" w:customStyle="1" w:styleId="berschrift2Zchn">
    <w:name w:val="Überschrift 2 Zchn"/>
    <w:basedOn w:val="Absatz-Standardschriftart"/>
    <w:link w:val="berschrift2"/>
    <w:uiPriority w:val="9"/>
    <w:rPr>
      <w:rFonts w:ascii="Verdana" w:eastAsiaTheme="majorEastAsia" w:hAnsi="Verdana" w:cstheme="majorBidi"/>
      <w:bCs/>
      <w:szCs w:val="26"/>
    </w:rPr>
  </w:style>
  <w:style w:type="character" w:customStyle="1" w:styleId="berschrift3Zchn">
    <w:name w:val="Überschrift 3 Zchn"/>
    <w:basedOn w:val="Absatz-Standardschriftart"/>
    <w:link w:val="berschrift3"/>
    <w:uiPriority w:val="9"/>
    <w:rPr>
      <w:rFonts w:ascii="Verdana" w:hAnsi="Verdana" w:cstheme="majorBidi"/>
      <w:bCs/>
    </w:rPr>
  </w:style>
  <w:style w:type="character" w:customStyle="1" w:styleId="berschrift4Zchn">
    <w:name w:val="Überschrift 4 Zchn"/>
    <w:basedOn w:val="Absatz-Standardschriftart"/>
    <w:link w:val="berschrift4"/>
    <w:uiPriority w:val="9"/>
    <w:rPr>
      <w:rFonts w:ascii="Verdana" w:eastAsiaTheme="majorEastAsia" w:hAnsi="Verdana" w:cstheme="majorBidi"/>
      <w:bCs/>
      <w:iCs/>
    </w:rPr>
  </w:style>
  <w:style w:type="character" w:customStyle="1" w:styleId="berschrift5Zchn">
    <w:name w:val="Überschrift 5 Zchn"/>
    <w:basedOn w:val="Absatz-Standardschriftart"/>
    <w:link w:val="berschrift5"/>
    <w:uiPriority w:val="9"/>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paragraph" w:styleId="Listenabsatz">
    <w:name w:val="List Paragraph"/>
    <w:basedOn w:val="Standard"/>
    <w:link w:val="ListenabsatzZchn"/>
    <w:uiPriority w:val="34"/>
    <w:qFormat/>
    <w:pPr>
      <w:ind w:left="720"/>
      <w:contextualSpacing/>
    </w:pPr>
  </w:style>
  <w:style w:type="character" w:customStyle="1" w:styleId="ListenabsatzZchn">
    <w:name w:val="Listenabsatz Zchn"/>
    <w:basedOn w:val="Absatz-Standardschriftart"/>
    <w:link w:val="Listenabsatz"/>
    <w:uiPriority w:val="34"/>
  </w:style>
  <w:style w:type="character" w:styleId="Hyperlink">
    <w:name w:val="Hyperlink"/>
    <w:uiPriority w:val="99"/>
    <w:rPr>
      <w:color w:val="0000FF"/>
      <w:u w:val="single"/>
    </w:rPr>
  </w:style>
  <w:style w:type="paragraph" w:styleId="NurText">
    <w:name w:val="Plain Text"/>
    <w:basedOn w:val="Standard"/>
    <w:link w:val="NurTextZchn"/>
    <w:uiPriority w:val="99"/>
    <w:unhideWhenUsed/>
    <w:pPr>
      <w:spacing w:after="0" w:line="240" w:lineRule="auto"/>
    </w:pPr>
    <w:rPr>
      <w:rFonts w:ascii="Calibri" w:hAnsi="Calibri" w:cs="Consolas"/>
      <w:szCs w:val="21"/>
    </w:rPr>
  </w:style>
  <w:style w:type="character" w:customStyle="1" w:styleId="NurTextZchn">
    <w:name w:val="Nur Text Zchn"/>
    <w:basedOn w:val="Absatz-Standardschriftart"/>
    <w:link w:val="NurText"/>
    <w:uiPriority w:val="99"/>
    <w:rPr>
      <w:rFonts w:ascii="Calibri" w:hAnsi="Calibri" w:cs="Consolas"/>
      <w:szCs w:val="21"/>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Inhaltsverzeichnisberschrift">
    <w:name w:val="TOC Heading"/>
    <w:basedOn w:val="berschrift1"/>
    <w:next w:val="Standard"/>
    <w:uiPriority w:val="39"/>
    <w:semiHidden/>
    <w:unhideWhenUsed/>
    <w:qFormat/>
    <w:pPr>
      <w:numPr>
        <w:numId w:val="0"/>
      </w:numPr>
      <w:spacing w:before="480"/>
      <w:outlineLvl w:val="9"/>
    </w:pPr>
    <w:rPr>
      <w:rFonts w:asciiTheme="majorHAnsi" w:hAnsiTheme="majorHAnsi"/>
      <w:color w:val="365F91" w:themeColor="accent1" w:themeShade="BF"/>
      <w:sz w:val="28"/>
      <w:lang w:eastAsia="de-DE"/>
    </w:rPr>
  </w:style>
  <w:style w:type="paragraph" w:styleId="Verzeichnis1">
    <w:name w:val="toc 1"/>
    <w:basedOn w:val="Standard"/>
    <w:next w:val="Standard"/>
    <w:uiPriority w:val="39"/>
    <w:unhideWhenUsed/>
    <w:pPr>
      <w:tabs>
        <w:tab w:val="left" w:pos="440"/>
        <w:tab w:val="right" w:leader="dot" w:pos="9060"/>
      </w:tabs>
      <w:spacing w:after="100"/>
    </w:pPr>
  </w:style>
  <w:style w:type="paragraph" w:styleId="Verzeichnis2">
    <w:name w:val="toc 2"/>
    <w:basedOn w:val="Standard"/>
    <w:next w:val="Standard"/>
    <w:uiPriority w:val="39"/>
    <w:unhideWhenUsed/>
    <w:pPr>
      <w:tabs>
        <w:tab w:val="left" w:pos="880"/>
        <w:tab w:val="right" w:leader="dot" w:pos="9060"/>
      </w:tabs>
      <w:spacing w:after="100"/>
      <w:ind w:left="220"/>
    </w:pPr>
  </w:style>
  <w:style w:type="paragraph" w:styleId="Verzeichnis3">
    <w:name w:val="toc 3"/>
    <w:basedOn w:val="Standard"/>
    <w:next w:val="Standard"/>
    <w:uiPriority w:val="39"/>
    <w:unhideWhenUsed/>
    <w:pPr>
      <w:tabs>
        <w:tab w:val="right" w:leader="dot" w:pos="9060"/>
      </w:tabs>
      <w:spacing w:after="100"/>
      <w:ind w:left="440"/>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Blocktext">
    <w:name w:val="Block Text"/>
    <w:basedOn w:val="Standard"/>
    <w:pPr>
      <w:spacing w:after="240" w:line="240" w:lineRule="auto"/>
    </w:pPr>
    <w:rPr>
      <w:rFonts w:ascii="Verdana" w:eastAsia="Times New Roman" w:hAnsi="Verdana" w:cs="Times New Roman"/>
      <w:lang w:eastAsia="de-DE"/>
    </w:rPr>
  </w:style>
  <w:style w:type="paragraph" w:customStyle="1" w:styleId="Gliederung">
    <w:name w:val="Gliederung"/>
    <w:basedOn w:val="Standard"/>
    <w:link w:val="GliederungZchn"/>
    <w:pPr>
      <w:numPr>
        <w:numId w:val="4"/>
      </w:numPr>
      <w:spacing w:after="120" w:line="240" w:lineRule="auto"/>
      <w:outlineLvl w:val="0"/>
    </w:pPr>
    <w:rPr>
      <w:rFonts w:ascii="Verdana" w:eastAsia="Times New Roman" w:hAnsi="Verdana" w:cs="Times New Roman"/>
      <w:b/>
      <w:szCs w:val="20"/>
    </w:rPr>
  </w:style>
  <w:style w:type="character" w:customStyle="1" w:styleId="GliederungZchn">
    <w:name w:val="Gliederung Zchn"/>
    <w:link w:val="Gliederung"/>
    <w:rPr>
      <w:rFonts w:ascii="Verdana" w:eastAsia="Times New Roman" w:hAnsi="Verdana" w:cs="Times New Roman"/>
      <w:b/>
      <w:szCs w:val="20"/>
    </w:rPr>
  </w:style>
  <w:style w:type="paragraph" w:customStyle="1" w:styleId="Block">
    <w:name w:val="Block"/>
    <w:basedOn w:val="Standard"/>
    <w:link w:val="BlockZchn"/>
    <w:pPr>
      <w:widowControl w:val="0"/>
      <w:spacing w:after="240" w:line="240" w:lineRule="auto"/>
    </w:pPr>
    <w:rPr>
      <w:rFonts w:ascii="Verdana" w:eastAsia="Times New Roman" w:hAnsi="Verdana" w:cs="Arial"/>
      <w:lang w:eastAsia="de-DE"/>
    </w:rPr>
  </w:style>
  <w:style w:type="character" w:customStyle="1" w:styleId="BlockZchn">
    <w:name w:val="Block Zchn"/>
    <w:link w:val="Block"/>
    <w:rPr>
      <w:rFonts w:ascii="Verdana" w:eastAsia="Times New Roman" w:hAnsi="Verdana" w:cs="Arial"/>
      <w:lang w:eastAsia="de-DE"/>
    </w:rPr>
  </w:style>
  <w:style w:type="paragraph" w:customStyle="1" w:styleId="Aufzhlung1">
    <w:name w:val="Aufzählung 1"/>
    <w:basedOn w:val="Standard"/>
    <w:pPr>
      <w:numPr>
        <w:numId w:val="3"/>
      </w:numPr>
      <w:tabs>
        <w:tab w:val="left" w:pos="709"/>
      </w:tabs>
      <w:spacing w:after="0" w:line="240" w:lineRule="auto"/>
      <w:jc w:val="both"/>
    </w:pPr>
    <w:rPr>
      <w:rFonts w:ascii="Verdana" w:eastAsia="Times New Roman" w:hAnsi="Verdana" w:cs="Times New Roman"/>
      <w:szCs w:val="20"/>
      <w:lang w:eastAsia="de-DE"/>
    </w:rPr>
  </w:style>
  <w:style w:type="paragraph" w:customStyle="1" w:styleId="Auzhlung3">
    <w:name w:val="Auzählung 3"/>
    <w:basedOn w:val="Standard"/>
    <w:pPr>
      <w:numPr>
        <w:numId w:val="5"/>
      </w:numPr>
      <w:tabs>
        <w:tab w:val="clear" w:pos="1851"/>
        <w:tab w:val="num" w:pos="1418"/>
      </w:tabs>
      <w:spacing w:after="0" w:line="240" w:lineRule="auto"/>
      <w:ind w:left="1418" w:hanging="709"/>
      <w:jc w:val="both"/>
    </w:pPr>
    <w:rPr>
      <w:rFonts w:ascii="Verdana" w:eastAsia="Times New Roman" w:hAnsi="Verdana" w:cs="Times New Roman"/>
      <w:szCs w:val="20"/>
      <w:lang w:eastAsia="de-DE"/>
    </w:rPr>
  </w:style>
  <w:style w:type="paragraph" w:customStyle="1" w:styleId="hngend">
    <w:name w:val="hängend"/>
    <w:basedOn w:val="NurText"/>
    <w:pPr>
      <w:spacing w:after="240"/>
      <w:ind w:left="709" w:hanging="709"/>
      <w:jc w:val="both"/>
    </w:pPr>
    <w:rPr>
      <w:rFonts w:ascii="Verdana" w:eastAsia="Times New Roman" w:hAnsi="Verdana" w:cs="Courier New"/>
      <w:szCs w:val="20"/>
      <w:lang w:eastAsia="de-DE"/>
    </w:rPr>
  </w:style>
  <w:style w:type="character" w:customStyle="1" w:styleId="Erwhnung1">
    <w:name w:val="Erwähnung1"/>
    <w:basedOn w:val="Absatz-Standardschriftart"/>
    <w:uiPriority w:val="99"/>
    <w:semiHidden/>
    <w:unhideWhenUsed/>
    <w:rPr>
      <w:color w:val="2B579A"/>
      <w:shd w:val="clear" w:color="auto" w:fill="E6E6E6"/>
    </w:rPr>
  </w:style>
  <w:style w:type="paragraph" w:customStyle="1" w:styleId="Gliederung1">
    <w:name w:val="Gliederung 1"/>
    <w:basedOn w:val="Standard"/>
    <w:next w:val="Standard"/>
    <w:pPr>
      <w:numPr>
        <w:numId w:val="6"/>
      </w:numPr>
      <w:spacing w:after="120" w:line="240" w:lineRule="auto"/>
      <w:outlineLvl w:val="0"/>
    </w:pPr>
    <w:rPr>
      <w:rFonts w:ascii="Verdana" w:eastAsia="Times New Roman" w:hAnsi="Verdana" w:cs="Times New Roman"/>
      <w:b/>
      <w:szCs w:val="20"/>
      <w:lang w:eastAsia="de-DE"/>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Textkrper2">
    <w:name w:val="Body Text 2"/>
    <w:basedOn w:val="Standard"/>
    <w:link w:val="Textkrper2Zchn"/>
    <w:semiHidden/>
    <w:unhideWhenUsed/>
    <w:pPr>
      <w:spacing w:before="60" w:after="0"/>
      <w:ind w:left="567"/>
      <w:jc w:val="both"/>
    </w:pPr>
    <w:rPr>
      <w:rFonts w:ascii="Arial" w:eastAsia="Times New Roman" w:hAnsi="Arial" w:cs="Times New Roman"/>
      <w:sz w:val="20"/>
      <w:szCs w:val="24"/>
      <w:lang w:eastAsia="de-DE"/>
    </w:rPr>
  </w:style>
  <w:style w:type="character" w:customStyle="1" w:styleId="Textkrper2Zchn">
    <w:name w:val="Textkörper 2 Zchn"/>
    <w:basedOn w:val="Absatz-Standardschriftart"/>
    <w:link w:val="Textkrper2"/>
    <w:semiHidden/>
    <w:rPr>
      <w:rFonts w:ascii="Arial" w:eastAsia="Times New Roman" w:hAnsi="Arial" w:cs="Times New Roman"/>
      <w:sz w:val="20"/>
      <w:szCs w:val="24"/>
      <w:lang w:eastAsia="de-DE"/>
    </w:rPr>
  </w:style>
  <w:style w:type="paragraph" w:styleId="Textkrper">
    <w:name w:val="Body Text"/>
    <w:basedOn w:val="Standard"/>
    <w:link w:val="TextkrperZchn"/>
    <w:uiPriority w:val="99"/>
    <w:semiHidden/>
    <w:unhideWhenUsed/>
    <w:pPr>
      <w:spacing w:after="120"/>
    </w:pPr>
  </w:style>
  <w:style w:type="character" w:customStyle="1" w:styleId="TextkrperZchn">
    <w:name w:val="Textkörper Zchn"/>
    <w:basedOn w:val="Absatz-Standardschriftart"/>
    <w:link w:val="Textkrper"/>
    <w:uiPriority w:val="99"/>
    <w:semiHidden/>
  </w:style>
  <w:style w:type="paragraph" w:styleId="Textkrper3">
    <w:name w:val="Body Text 3"/>
    <w:basedOn w:val="Standard"/>
    <w:link w:val="Textkrper3Zchn"/>
    <w:uiPriority w:val="99"/>
    <w:semiHidden/>
    <w:unhideWhenUsed/>
    <w:pPr>
      <w:spacing w:after="120"/>
    </w:pPr>
    <w:rPr>
      <w:sz w:val="16"/>
      <w:szCs w:val="16"/>
    </w:rPr>
  </w:style>
  <w:style w:type="character" w:customStyle="1" w:styleId="Textkrper3Zchn">
    <w:name w:val="Textkörper 3 Zchn"/>
    <w:basedOn w:val="Absatz-Standardschriftart"/>
    <w:link w:val="Textkrper3"/>
    <w:uiPriority w:val="99"/>
    <w:semiHidden/>
    <w:rPr>
      <w:sz w:val="16"/>
      <w:szCs w:val="16"/>
    </w:rPr>
  </w:style>
  <w:style w:type="character" w:customStyle="1" w:styleId="NichtaufgelsteErwhnung1">
    <w:name w:val="Nicht aufgelöste Erwähnung1"/>
    <w:basedOn w:val="Absatz-Standardschriftart"/>
    <w:uiPriority w:val="99"/>
    <w:semiHidden/>
    <w:unhideWhenUsed/>
    <w:rPr>
      <w:color w:val="808080"/>
      <w:shd w:val="clear" w:color="auto" w:fill="E6E6E6"/>
    </w:rPr>
  </w:style>
  <w:style w:type="table" w:styleId="Tabellenraster">
    <w:name w:val="Table Grid"/>
    <w:basedOn w:val="NormaleTabell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Calibri" w:hAnsi="Calibri" w:cs="Calibri"/>
      <w:color w:val="000000"/>
      <w:sz w:val="24"/>
      <w:szCs w:val="24"/>
    </w:rPr>
  </w:style>
  <w:style w:type="paragraph" w:styleId="Verzeichnis4">
    <w:name w:val="toc 4"/>
    <w:basedOn w:val="Standard"/>
    <w:next w:val="Standard"/>
    <w:uiPriority w:val="39"/>
    <w:unhideWhenUsed/>
    <w:pPr>
      <w:spacing w:after="100" w:line="259" w:lineRule="auto"/>
      <w:ind w:left="660"/>
    </w:pPr>
    <w:rPr>
      <w:rFonts w:eastAsiaTheme="minorEastAsia"/>
      <w:lang w:eastAsia="de-DE"/>
    </w:rPr>
  </w:style>
  <w:style w:type="paragraph" w:styleId="Verzeichnis5">
    <w:name w:val="toc 5"/>
    <w:basedOn w:val="Standard"/>
    <w:next w:val="Standard"/>
    <w:uiPriority w:val="39"/>
    <w:unhideWhenUsed/>
    <w:pPr>
      <w:spacing w:after="100" w:line="259" w:lineRule="auto"/>
      <w:ind w:left="880"/>
    </w:pPr>
    <w:rPr>
      <w:rFonts w:eastAsiaTheme="minorEastAsia"/>
      <w:lang w:eastAsia="de-DE"/>
    </w:rPr>
  </w:style>
  <w:style w:type="paragraph" w:styleId="Verzeichnis6">
    <w:name w:val="toc 6"/>
    <w:basedOn w:val="Standard"/>
    <w:next w:val="Standard"/>
    <w:uiPriority w:val="39"/>
    <w:unhideWhenUsed/>
    <w:pPr>
      <w:spacing w:after="100" w:line="259" w:lineRule="auto"/>
      <w:ind w:left="1100"/>
    </w:pPr>
    <w:rPr>
      <w:rFonts w:eastAsiaTheme="minorEastAsia"/>
      <w:lang w:eastAsia="de-DE"/>
    </w:rPr>
  </w:style>
  <w:style w:type="paragraph" w:styleId="Verzeichnis7">
    <w:name w:val="toc 7"/>
    <w:basedOn w:val="Standard"/>
    <w:next w:val="Standard"/>
    <w:uiPriority w:val="39"/>
    <w:unhideWhenUsed/>
    <w:pPr>
      <w:spacing w:after="100" w:line="259" w:lineRule="auto"/>
      <w:ind w:left="1320"/>
    </w:pPr>
    <w:rPr>
      <w:rFonts w:eastAsiaTheme="minorEastAsia"/>
      <w:lang w:eastAsia="de-DE"/>
    </w:rPr>
  </w:style>
  <w:style w:type="paragraph" w:styleId="Verzeichnis8">
    <w:name w:val="toc 8"/>
    <w:basedOn w:val="Standard"/>
    <w:next w:val="Standard"/>
    <w:uiPriority w:val="39"/>
    <w:unhideWhenUsed/>
    <w:pPr>
      <w:spacing w:after="100" w:line="259" w:lineRule="auto"/>
      <w:ind w:left="1540"/>
    </w:pPr>
    <w:rPr>
      <w:rFonts w:eastAsiaTheme="minorEastAsia"/>
      <w:lang w:eastAsia="de-DE"/>
    </w:rPr>
  </w:style>
  <w:style w:type="paragraph" w:styleId="Verzeichnis9">
    <w:name w:val="toc 9"/>
    <w:basedOn w:val="Standard"/>
    <w:next w:val="Standard"/>
    <w:uiPriority w:val="39"/>
    <w:unhideWhenUsed/>
    <w:pPr>
      <w:spacing w:after="100" w:line="259" w:lineRule="auto"/>
      <w:ind w:left="1760"/>
    </w:pPr>
    <w:rPr>
      <w:rFonts w:eastAsiaTheme="minorEastAsia"/>
      <w:lang w:eastAsia="de-DE"/>
    </w:rPr>
  </w:style>
  <w:style w:type="character" w:styleId="Kommentarzeichen">
    <w:name w:val="annotation reference"/>
    <w:basedOn w:val="Absatz-Standardschriftart"/>
    <w:unhideWhenUsed/>
    <w:rPr>
      <w:sz w:val="16"/>
      <w:szCs w:val="16"/>
    </w:rPr>
  </w:style>
  <w:style w:type="paragraph" w:styleId="Kommentartext">
    <w:name w:val="annotation text"/>
    <w:basedOn w:val="Standard"/>
    <w:link w:val="KommentartextZchn"/>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character" w:customStyle="1" w:styleId="NichtaufgelsteErwhnung3">
    <w:name w:val="Nicht aufgelöste Erwähnung3"/>
    <w:basedOn w:val="Absatz-Standardschriftart"/>
    <w:uiPriority w:val="99"/>
    <w:semiHidden/>
    <w:unhideWhenUsed/>
    <w:rPr>
      <w:color w:val="605E5C"/>
      <w:shd w:val="clear" w:color="auto" w:fill="E1DFDD"/>
    </w:rPr>
  </w:style>
  <w:style w:type="character" w:customStyle="1" w:styleId="NichtaufgelsteErwhnung4">
    <w:name w:val="Nicht aufgelöste Erwähnung4"/>
    <w:basedOn w:val="Absatz-Standardschriftart"/>
    <w:uiPriority w:val="99"/>
    <w:semiHidden/>
    <w:unhideWhenUsed/>
    <w:rPr>
      <w:color w:val="605E5C"/>
      <w:shd w:val="clear" w:color="auto" w:fill="E1DFDD"/>
    </w:rPr>
  </w:style>
  <w:style w:type="paragraph" w:styleId="berarbeitung">
    <w:name w:val="Revision"/>
    <w:hidden/>
    <w:uiPriority w:val="99"/>
    <w:semiHidden/>
    <w:pPr>
      <w:spacing w:after="0" w:line="240" w:lineRule="auto"/>
    </w:pPr>
  </w:style>
  <w:style w:type="character" w:customStyle="1" w:styleId="NichtaufgelsteErwhnung5">
    <w:name w:val="Nicht aufgelöste Erwähnung5"/>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paragraph" w:customStyle="1" w:styleId="A1111berschift">
    <w:name w:val="A_1.1.1.1 Überschift"/>
    <w:basedOn w:val="berschrift3"/>
    <w:pPr>
      <w:keepNext w:val="0"/>
      <w:keepLines w:val="0"/>
      <w:widowControl w:val="0"/>
      <w:numPr>
        <w:numId w:val="33"/>
      </w:numPr>
      <w:spacing w:before="60" w:after="120" w:line="240" w:lineRule="auto"/>
      <w:jc w:val="both"/>
    </w:pPr>
    <w:rPr>
      <w:rFonts w:eastAsia="Times New Roman" w:cs="Verdana"/>
      <w:bCs w:val="0"/>
      <w:lang w:eastAsia="de-DE"/>
    </w:rPr>
  </w:style>
  <w:style w:type="character" w:customStyle="1" w:styleId="AText1">
    <w:name w:val="A_Text1"/>
    <w:rPr>
      <w:rFonts w:ascii="Verdana" w:hAnsi="Verdana" w:cs="Verdana"/>
      <w:sz w:val="24"/>
      <w:szCs w:val="24"/>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igitale-verwaltung.de/SharedDocs/downloads/Webs/DV/DE/digitale-loesungen/it-einkauf/evb-it-bvb/basisvertraege/dienstleistungen/dienstleistungs-agb.pdf?__blob=publicationFile&amp;v=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gitale-verwaltung.de/SharedDocs/downloads/Webs/DV/DE/digitale-loesungen/it-einkauf/evb-it-bvb/basisvertraege/dienstleistungen/dienstvertrag-langfassung.pdf?__blob=publicationFile&amp;v=2"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19BC253A1786A42A8EF189B7DF96D3D" ma:contentTypeVersion="4" ma:contentTypeDescription="Ein neues Dokument erstellen." ma:contentTypeScope="" ma:versionID="33fcf3f588a031911334a99ef8cc7137">
  <xsd:schema xmlns:xsd="http://www.w3.org/2001/XMLSchema" xmlns:xs="http://www.w3.org/2001/XMLSchema" xmlns:p="http://schemas.microsoft.com/office/2006/metadata/properties" xmlns:ns2="73a29f32-1f52-4a2d-b6a4-94bc6726f54a" targetNamespace="http://schemas.microsoft.com/office/2006/metadata/properties" ma:root="true" ma:fieldsID="db8d1f0a352253949e45a1620531afd9" ns2:_="">
    <xsd:import namespace="73a29f32-1f52-4a2d-b6a4-94bc6726f5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29f32-1f52-4a2d-b6a4-94bc6726f5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This value indicates the number of saves or revisions. The application is responsible for updating this value after each revision.</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3DEB17-33B8-4EFD-9237-75ADC14FF7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7135ED-5665-488C-99CF-2A9ACE34B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29f32-1f52-4a2d-b6a4-94bc6726f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DAD8A6-6EBF-4198-87A8-CD0EE5F0E721}">
  <ds:schemaRefs>
    <ds:schemaRef ds:uri="http://schemas.openxmlformats.org/officeDocument/2006/bibliography"/>
  </ds:schemaRefs>
</ds:datastoreItem>
</file>

<file path=customXml/itemProps4.xml><?xml version="1.0" encoding="utf-8"?>
<ds:datastoreItem xmlns:ds="http://schemas.openxmlformats.org/officeDocument/2006/customXml" ds:itemID="{B43919CD-AC35-4C22-8A98-07FD19D34D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3205</Words>
  <Characters>20193</Characters>
  <Application>Microsoft Office Word</Application>
  <DocSecurity>0</DocSecurity>
  <Lines>168</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Lehmann</dc:creator>
  <cp:keywords/>
  <cp:lastModifiedBy>Huber, Kathrin</cp:lastModifiedBy>
  <cp:revision>3</cp:revision>
  <dcterms:created xsi:type="dcterms:W3CDTF">2026-02-23T08:59:00Z</dcterms:created>
  <dcterms:modified xsi:type="dcterms:W3CDTF">2026-03-13T05:48:00Z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0x010100F19BC253A1786A42A8EF189B7DF96D3D</vt:lpwstr>
  </property>
  <property fmtid="{D5CDD505-2E9C-101B-9397-08002B2CF9AE}" pid="3" name="MediaServiceImageTags">
    <vt:lpwstr/>
  </property>
  <property fmtid="{D5CDD505-2E9C-101B-9397-08002B2CF9AE}" pid="4" name="ClassificationContentMarkingFooterShapeIds">
    <vt:lpwstr>7a0ef4b5,77d20c1e,6e0cf4a1</vt:lpwstr>
  </property>
  <property fmtid="{D5CDD505-2E9C-101B-9397-08002B2CF9AE}" pid="5" name="ClassificationContentMarkingFooterFontProps">
    <vt:lpwstr>#000000,10,Calibri</vt:lpwstr>
  </property>
  <property fmtid="{D5CDD505-2E9C-101B-9397-08002B2CF9AE}" pid="6" name="ClassificationContentMarkingFooterText">
    <vt:lpwstr>vdek-Klassifikationsstufe: Intern</vt:lpwstr>
  </property>
  <property fmtid="{D5CDD505-2E9C-101B-9397-08002B2CF9AE}" pid="7" name="dofficeID">
    <vt:lpwstr>{348EB5F9-C21E-4ED3-8DEF-1345806FB9EF}</vt:lpwstr>
  </property>
</Properties>
</file>