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53F0" w14:textId="77777777" w:rsidR="007C536B" w:rsidRPr="004812E7" w:rsidRDefault="007C536B" w:rsidP="007C536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</w:p>
    <w:p w14:paraId="74200D54" w14:textId="6E012A7A" w:rsidR="007919D5" w:rsidRDefault="007919D5" w:rsidP="000D7747">
      <w:pPr>
        <w:spacing w:after="160" w:line="259" w:lineRule="auto"/>
        <w:jc w:val="left"/>
        <w:rPr>
          <w:rFonts w:ascii="Meta" w:hAnsi="Meta"/>
        </w:rPr>
      </w:pPr>
      <w:r>
        <w:rPr>
          <w:rFonts w:ascii="Meta" w:hAnsi="Meta"/>
        </w:rPr>
        <w:t xml:space="preserve">Die Medizinischen Fakultät Münster benötigt für den Austausch von Hardware 3x </w:t>
      </w:r>
      <w:r w:rsidR="00437B9D">
        <w:rPr>
          <w:rFonts w:ascii="Meta" w:hAnsi="Meta"/>
        </w:rPr>
        <w:t xml:space="preserve">neue </w:t>
      </w:r>
      <w:r>
        <w:rPr>
          <w:rFonts w:ascii="Meta" w:hAnsi="Meta"/>
        </w:rPr>
        <w:t xml:space="preserve">Server. Die Server sollen bestehende Server in der Virtualisierungsumgebung Proxmox VE </w:t>
      </w:r>
      <w:r w:rsidR="00D51DDB">
        <w:rPr>
          <w:rFonts w:ascii="Meta" w:hAnsi="Meta"/>
        </w:rPr>
        <w:t xml:space="preserve">Ceph </w:t>
      </w:r>
      <w:r>
        <w:rPr>
          <w:rFonts w:ascii="Meta" w:hAnsi="Meta"/>
        </w:rPr>
        <w:t>ersetzen.</w:t>
      </w:r>
      <w:r>
        <w:rPr>
          <w:rFonts w:ascii="Meta" w:hAnsi="Meta"/>
        </w:rPr>
        <w:br/>
        <w:t>Entsprechende Proxmox Lizenzen werden von den vorherigen Servern übernommen.</w:t>
      </w:r>
    </w:p>
    <w:p w14:paraId="5832B002" w14:textId="77777777" w:rsidR="007919D5" w:rsidRDefault="007919D5" w:rsidP="000D7747">
      <w:pPr>
        <w:spacing w:after="160" w:line="259" w:lineRule="auto"/>
        <w:jc w:val="left"/>
        <w:rPr>
          <w:rFonts w:ascii="Meta" w:hAnsi="Meta"/>
        </w:rPr>
      </w:pPr>
      <w:r>
        <w:rPr>
          <w:rFonts w:ascii="Meta" w:hAnsi="Meta"/>
        </w:rPr>
        <w:t>Alle Komponenten der Server, insbesondere Hauptspeicher und Massenspeicher, müssen nach Ablauf des Supportpaketes herstellerunabhängig bei Defekt ersetzt oder aufgerüstet werden können.</w:t>
      </w:r>
    </w:p>
    <w:p w14:paraId="2E3AFE98" w14:textId="77777777" w:rsidR="00914CBA" w:rsidRDefault="00F36C60" w:rsidP="007919D5">
      <w:pPr>
        <w:spacing w:after="160" w:line="259" w:lineRule="auto"/>
        <w:jc w:val="left"/>
        <w:rPr>
          <w:rFonts w:ascii="Meta" w:hAnsi="Meta"/>
        </w:rPr>
      </w:pPr>
      <w:r>
        <w:rPr>
          <w:rFonts w:ascii="Meta" w:hAnsi="Meta"/>
        </w:rPr>
        <w:t>Es ist ein Gesamtpreis für Server und Supportleistungen abzugeben.</w:t>
      </w:r>
      <w:r w:rsidR="00A71F8D">
        <w:rPr>
          <w:rFonts w:ascii="Meta" w:hAnsi="Meta"/>
        </w:rPr>
        <w:t xml:space="preserve"> </w:t>
      </w:r>
      <w:r w:rsidR="00914CBA" w:rsidRPr="00914CBA">
        <w:rPr>
          <w:rFonts w:ascii="Meta" w:hAnsi="Meta"/>
        </w:rPr>
        <w:t>Der Zuschlag wird auf das wirtschaftlichste Angebot erteilt. Als Zuschlagskriterium gilt ausschließlich der Preis. Den Zuschlag erhält das Angebot mit dem niedrigsten Gesamtpreis.</w:t>
      </w:r>
    </w:p>
    <w:p w14:paraId="2B972195" w14:textId="1B5F332D" w:rsidR="007919D5" w:rsidRDefault="007919D5" w:rsidP="007919D5">
      <w:pPr>
        <w:spacing w:after="160" w:line="259" w:lineRule="auto"/>
        <w:jc w:val="left"/>
        <w:rPr>
          <w:rFonts w:ascii="Meta" w:hAnsi="Meta"/>
        </w:rPr>
      </w:pPr>
      <w:r>
        <w:rPr>
          <w:rFonts w:ascii="Meta" w:hAnsi="Meta"/>
        </w:rPr>
        <w:t>Die Server werden im Rahmen der universitären Forschung und Lehre eingesetzt.</w:t>
      </w:r>
    </w:p>
    <w:tbl>
      <w:tblPr>
        <w:tblStyle w:val="Tabellenraster"/>
        <w:tblpPr w:leftFromText="141" w:rightFromText="141" w:vertAnchor="page" w:horzAnchor="margin" w:tblpY="4921"/>
        <w:tblW w:w="10065" w:type="dxa"/>
        <w:tblLook w:val="04A0" w:firstRow="1" w:lastRow="0" w:firstColumn="1" w:lastColumn="0" w:noHBand="0" w:noVBand="1"/>
      </w:tblPr>
      <w:tblGrid>
        <w:gridCol w:w="949"/>
        <w:gridCol w:w="894"/>
        <w:gridCol w:w="8222"/>
      </w:tblGrid>
      <w:tr w:rsidR="00E64C1C" w14:paraId="1E75B851" w14:textId="77777777" w:rsidTr="00E946FD">
        <w:trPr>
          <w:trHeight w:val="266"/>
        </w:trPr>
        <w:tc>
          <w:tcPr>
            <w:tcW w:w="949" w:type="dxa"/>
          </w:tcPr>
          <w:p w14:paraId="7AD415A9" w14:textId="77777777" w:rsidR="00E64C1C" w:rsidRPr="001D1410" w:rsidRDefault="00E64C1C" w:rsidP="00E946FD">
            <w:pPr>
              <w:rPr>
                <w:i/>
                <w:sz w:val="20"/>
                <w:szCs w:val="20"/>
              </w:rPr>
            </w:pPr>
            <w:r w:rsidRPr="001D1410">
              <w:rPr>
                <w:i/>
                <w:sz w:val="20"/>
                <w:szCs w:val="20"/>
              </w:rPr>
              <w:t>Position</w:t>
            </w:r>
          </w:p>
        </w:tc>
        <w:tc>
          <w:tcPr>
            <w:tcW w:w="894" w:type="dxa"/>
          </w:tcPr>
          <w:p w14:paraId="354FFDE4" w14:textId="77777777" w:rsidR="00E64C1C" w:rsidRPr="001D1410" w:rsidRDefault="00E64C1C" w:rsidP="00E946FD">
            <w:pPr>
              <w:rPr>
                <w:i/>
                <w:sz w:val="20"/>
                <w:szCs w:val="20"/>
              </w:rPr>
            </w:pPr>
            <w:r w:rsidRPr="001D1410">
              <w:rPr>
                <w:i/>
                <w:sz w:val="20"/>
                <w:szCs w:val="20"/>
              </w:rPr>
              <w:t>Anzahl</w:t>
            </w:r>
          </w:p>
        </w:tc>
        <w:tc>
          <w:tcPr>
            <w:tcW w:w="8222" w:type="dxa"/>
          </w:tcPr>
          <w:p w14:paraId="58CBD34B" w14:textId="77777777" w:rsidR="00E64C1C" w:rsidRPr="001D1410" w:rsidRDefault="00E64C1C" w:rsidP="00E946FD">
            <w:pPr>
              <w:rPr>
                <w:i/>
                <w:sz w:val="20"/>
                <w:szCs w:val="20"/>
              </w:rPr>
            </w:pPr>
            <w:r w:rsidRPr="001D1410">
              <w:rPr>
                <w:i/>
                <w:sz w:val="20"/>
                <w:szCs w:val="20"/>
              </w:rPr>
              <w:t>Artikel</w:t>
            </w:r>
          </w:p>
        </w:tc>
      </w:tr>
      <w:tr w:rsidR="00E64C1C" w14:paraId="727F7716" w14:textId="77777777" w:rsidTr="00E946FD">
        <w:trPr>
          <w:trHeight w:val="266"/>
        </w:trPr>
        <w:tc>
          <w:tcPr>
            <w:tcW w:w="949" w:type="dxa"/>
          </w:tcPr>
          <w:p w14:paraId="252CCDA0" w14:textId="77777777" w:rsidR="00E64C1C" w:rsidRDefault="00E64C1C" w:rsidP="00E946FD">
            <w:r>
              <w:t>01</w:t>
            </w:r>
          </w:p>
        </w:tc>
        <w:tc>
          <w:tcPr>
            <w:tcW w:w="894" w:type="dxa"/>
          </w:tcPr>
          <w:p w14:paraId="42D93091" w14:textId="77777777" w:rsidR="00E64C1C" w:rsidRDefault="00E64C1C" w:rsidP="00E946FD">
            <w:r>
              <w:t>3x</w:t>
            </w:r>
          </w:p>
        </w:tc>
        <w:tc>
          <w:tcPr>
            <w:tcW w:w="8222" w:type="dxa"/>
          </w:tcPr>
          <w:p w14:paraId="2129026B" w14:textId="77777777" w:rsidR="00E64C1C" w:rsidRDefault="00E64C1C" w:rsidP="00E946FD">
            <w:pPr>
              <w:jc w:val="left"/>
              <w:rPr>
                <w:b/>
              </w:rPr>
            </w:pPr>
            <w:r>
              <w:rPr>
                <w:b/>
              </w:rPr>
              <w:t>Server für Proxmox VE Ceph</w:t>
            </w:r>
          </w:p>
          <w:p w14:paraId="3D4E913F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Server müssen mit Proxmox VE inklusive Ceph Kompatibel sein</w:t>
            </w:r>
          </w:p>
          <w:p w14:paraId="0A26F794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Prozessor: 2x  Intel </w:t>
            </w:r>
            <w:r w:rsidRPr="006111DB">
              <w:rPr>
                <w:rFonts w:ascii="MetaNormalLF-Roman" w:hAnsi="MetaNormalLF-Roman"/>
              </w:rPr>
              <w:t xml:space="preserve">Xeon </w:t>
            </w:r>
            <w:r>
              <w:rPr>
                <w:rFonts w:ascii="MetaNormalLF-Roman" w:hAnsi="MetaNormalLF-Roman"/>
                <w:color w:val="000000"/>
                <w:shd w:val="clear" w:color="auto" w:fill="FFFFFF"/>
              </w:rPr>
              <w:t>Gold 6526Y (2,80Ghz, 16-Core) oder vergleichbar</w:t>
            </w:r>
          </w:p>
          <w:p w14:paraId="13F4AC81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  <w:rPr>
                <w:lang w:val="en-US"/>
              </w:rPr>
            </w:pPr>
            <w:r w:rsidRPr="007919D5">
              <w:rPr>
                <w:lang w:val="en-US"/>
              </w:rPr>
              <w:t>RAM:</w:t>
            </w:r>
            <w:r>
              <w:rPr>
                <w:lang w:val="en-US"/>
              </w:rPr>
              <w:t xml:space="preserve"> 16x 32 GB</w:t>
            </w:r>
            <w:r w:rsidRPr="007919D5">
              <w:rPr>
                <w:lang w:val="en-US"/>
              </w:rPr>
              <w:t xml:space="preserve"> ECC Reg DDR5 5600 RAM </w:t>
            </w:r>
          </w:p>
          <w:p w14:paraId="2C8A8C22" w14:textId="3DC77F82" w:rsidR="00E64C1C" w:rsidRPr="00C93EE3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 w:rsidRPr="00C93EE3">
              <w:t>Festpl</w:t>
            </w:r>
            <w:r>
              <w:t>a</w:t>
            </w:r>
            <w:r w:rsidRPr="00C93EE3">
              <w:t xml:space="preserve">ttencontroller für mind. 12x </w:t>
            </w:r>
            <w:r>
              <w:t>Festplatten</w:t>
            </w:r>
          </w:p>
          <w:p w14:paraId="5A2EC1D3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Festplatten für OS 2x SATA SSD mit mind 480GB</w:t>
            </w:r>
          </w:p>
          <w:p w14:paraId="4ECEB4D0" w14:textId="72FF37D1" w:rsidR="00E64C1C" w:rsidRPr="00C93EE3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Festplatten</w:t>
            </w:r>
            <w:r w:rsidR="00E3717F">
              <w:t xml:space="preserve"> </w:t>
            </w:r>
            <w:r>
              <w:t xml:space="preserve">für Ceph: </w:t>
            </w:r>
            <w:r w:rsidRPr="00C93EE3">
              <w:t>6x NVMe SSD 7,68TB mit</w:t>
            </w:r>
            <w:r>
              <w:t xml:space="preserve"> einem Durchsatz Lesen von mind. 6000 MB/s; Durchsatz Schreiben mind. 4.000 MB/s</w:t>
            </w:r>
          </w:p>
          <w:p w14:paraId="6AFB5E63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Netzwerk: 2x 10 Gbit RJ45 (Onboard oder Dualkarte)</w:t>
            </w:r>
          </w:p>
          <w:p w14:paraId="4860D91A" w14:textId="0237CC66" w:rsidR="00E64C1C" w:rsidRP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Netzwerk</w:t>
            </w:r>
            <w:r w:rsidRPr="00C93EE3">
              <w:t xml:space="preserve">: 2x </w:t>
            </w:r>
            <w:r w:rsidR="00437B9D">
              <w:t xml:space="preserve">25Gigabit </w:t>
            </w:r>
            <w:r>
              <w:t xml:space="preserve">SFP28 </w:t>
            </w:r>
            <w:r w:rsidRPr="00C93EE3">
              <w:t>Dual Port Netzwerkk</w:t>
            </w:r>
            <w:r>
              <w:t>arten</w:t>
            </w:r>
            <w:r w:rsidRPr="00C93EE3">
              <w:t xml:space="preserve"> </w:t>
            </w:r>
          </w:p>
          <w:p w14:paraId="46758BE4" w14:textId="77777777" w:rsidR="00E64C1C" w:rsidRPr="007919D5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  <w:rPr>
                <w:lang w:val="en-US"/>
              </w:rPr>
            </w:pPr>
            <w:r w:rsidRPr="007919D5">
              <w:rPr>
                <w:lang w:val="en-US"/>
              </w:rPr>
              <w:t>19“ Rackmount Version mit maximal 2 HE</w:t>
            </w:r>
          </w:p>
          <w:p w14:paraId="268494AE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Ausziehbare Einbauschienen</w:t>
            </w:r>
          </w:p>
          <w:p w14:paraId="47488B70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Kabelarm</w:t>
            </w:r>
          </w:p>
          <w:p w14:paraId="451A1251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Redundante Netzteile und Lüfter</w:t>
            </w:r>
          </w:p>
          <w:p w14:paraId="143D83F9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Management zur Fernwartung wie z.B. iLO oder MMI mit der zusätzlichen Option virtuelle Datenträger einzulegen</w:t>
            </w:r>
          </w:p>
          <w:p w14:paraId="16FC9311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Support: Hardware vorab Austausch nächster Werktag für 5 Jahre</w:t>
            </w:r>
          </w:p>
          <w:p w14:paraId="72A2C213" w14:textId="77777777" w:rsidR="00E64C1C" w:rsidRDefault="00E64C1C" w:rsidP="00E946FD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Defekte Datenträger müssen bei uns im Haus bleiben und werden nicht zurückgeschickt.</w:t>
            </w:r>
          </w:p>
          <w:p w14:paraId="68FC3701" w14:textId="77777777" w:rsidR="00E64C1C" w:rsidRDefault="00E64C1C" w:rsidP="00E946FD">
            <w:pPr>
              <w:jc w:val="left"/>
            </w:pPr>
          </w:p>
          <w:p w14:paraId="2ED714FB" w14:textId="77777777" w:rsidR="00E64C1C" w:rsidRPr="000435B6" w:rsidRDefault="00E64C1C" w:rsidP="00E946FD">
            <w:pPr>
              <w:jc w:val="left"/>
              <w:rPr>
                <w:b/>
              </w:rPr>
            </w:pPr>
            <w:r>
              <w:t xml:space="preserve"> </w:t>
            </w:r>
          </w:p>
          <w:p w14:paraId="0C4C9F14" w14:textId="77777777" w:rsidR="00E64C1C" w:rsidRPr="000435B6" w:rsidRDefault="00E64C1C" w:rsidP="00E946FD">
            <w:pPr>
              <w:jc w:val="left"/>
              <w:rPr>
                <w:b/>
              </w:rPr>
            </w:pPr>
          </w:p>
        </w:tc>
      </w:tr>
    </w:tbl>
    <w:p w14:paraId="067C1B4D" w14:textId="78C29D7F" w:rsidR="00437B9D" w:rsidRPr="000A36D6" w:rsidRDefault="00437B9D" w:rsidP="00F94C1D">
      <w:pPr>
        <w:spacing w:after="160" w:line="259" w:lineRule="auto"/>
        <w:jc w:val="left"/>
        <w:rPr>
          <w:sz w:val="18"/>
          <w:szCs w:val="18"/>
        </w:rPr>
      </w:pPr>
    </w:p>
    <w:sectPr w:rsidR="00437B9D" w:rsidRPr="000A36D6" w:rsidSect="00F94C1D">
      <w:headerReference w:type="first" r:id="rId7"/>
      <w:pgSz w:w="11906" w:h="16838" w:code="9"/>
      <w:pgMar w:top="1786" w:right="1418" w:bottom="3005" w:left="1134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5661" w14:textId="77777777" w:rsidR="007C536B" w:rsidRDefault="007C536B" w:rsidP="007C536B">
      <w:r>
        <w:separator/>
      </w:r>
    </w:p>
  </w:endnote>
  <w:endnote w:type="continuationSeparator" w:id="0">
    <w:p w14:paraId="64DEB997" w14:textId="77777777" w:rsidR="007C536B" w:rsidRDefault="007C536B" w:rsidP="007C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">
    <w:altName w:val="Calibri"/>
    <w:charset w:val="00"/>
    <w:family w:val="swiss"/>
    <w:pitch w:val="variable"/>
    <w:sig w:usb0="8000002F" w:usb1="4000004A" w:usb2="00000000" w:usb3="00000000" w:csb0="00000001" w:csb1="00000000"/>
  </w:font>
  <w:font w:name="MetaNormalLF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CDFD" w14:textId="77777777" w:rsidR="007C536B" w:rsidRDefault="007C536B" w:rsidP="007C536B">
      <w:r>
        <w:separator/>
      </w:r>
    </w:p>
  </w:footnote>
  <w:footnote w:type="continuationSeparator" w:id="0">
    <w:p w14:paraId="76079C6F" w14:textId="77777777" w:rsidR="007C536B" w:rsidRDefault="007C536B" w:rsidP="007C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14"/>
      <w:gridCol w:w="1691"/>
    </w:tblGrid>
    <w:tr w:rsidR="00081206" w14:paraId="41206808" w14:textId="77777777" w:rsidTr="000A36D6">
      <w:trPr>
        <w:trHeight w:hRule="exact" w:val="851"/>
        <w:jc w:val="center"/>
      </w:trPr>
      <w:tc>
        <w:tcPr>
          <w:tcW w:w="12617" w:type="dxa"/>
        </w:tcPr>
        <w:p w14:paraId="6860BA5F" w14:textId="77777777" w:rsidR="00437B9D" w:rsidRDefault="00437B9D" w:rsidP="0043551B">
          <w:pPr>
            <w:jc w:val="left"/>
          </w:pPr>
        </w:p>
        <w:p w14:paraId="61DAB529" w14:textId="5A208539" w:rsidR="00437B9D" w:rsidRPr="001D1410" w:rsidRDefault="00282D31" w:rsidP="007C536B">
          <w:pPr>
            <w:jc w:val="center"/>
            <w:rPr>
              <w:rFonts w:ascii="Meta" w:hAnsi="Meta"/>
            </w:rPr>
          </w:pPr>
          <w:r w:rsidRPr="001D1410">
            <w:rPr>
              <w:rFonts w:ascii="Meta" w:hAnsi="Meta"/>
            </w:rPr>
            <w:t xml:space="preserve">Seite </w:t>
          </w:r>
          <w:r w:rsidRPr="001D1410">
            <w:rPr>
              <w:rFonts w:ascii="Meta" w:hAnsi="Meta"/>
            </w:rPr>
            <w:fldChar w:fldCharType="begin"/>
          </w:r>
          <w:r w:rsidRPr="001D1410">
            <w:rPr>
              <w:rFonts w:ascii="Meta" w:hAnsi="Meta"/>
            </w:rPr>
            <w:instrText xml:space="preserve"> PAGE   \* MERGEFORMAT </w:instrText>
          </w:r>
          <w:r w:rsidRPr="001D1410">
            <w:rPr>
              <w:rFonts w:ascii="Meta" w:hAnsi="Meta"/>
            </w:rPr>
            <w:fldChar w:fldCharType="separate"/>
          </w:r>
          <w:r w:rsidR="00775ECB">
            <w:rPr>
              <w:rFonts w:ascii="Meta" w:hAnsi="Meta"/>
              <w:noProof/>
            </w:rPr>
            <w:t>2</w:t>
          </w:r>
          <w:r w:rsidRPr="001D1410">
            <w:rPr>
              <w:rFonts w:ascii="Meta" w:hAnsi="Meta"/>
            </w:rPr>
            <w:fldChar w:fldCharType="end"/>
          </w:r>
          <w:r w:rsidRPr="001D1410">
            <w:rPr>
              <w:rFonts w:ascii="Meta" w:hAnsi="Meta"/>
            </w:rPr>
            <w:t xml:space="preserve"> - </w:t>
          </w:r>
          <w:r w:rsidRPr="001D1410">
            <w:rPr>
              <w:rFonts w:ascii="Meta" w:hAnsi="Meta"/>
            </w:rPr>
            <w:fldChar w:fldCharType="begin"/>
          </w:r>
          <w:r w:rsidRPr="001D1410">
            <w:rPr>
              <w:rFonts w:ascii="Meta" w:hAnsi="Meta"/>
            </w:rPr>
            <w:instrText xml:space="preserve"> TIME \@ "dd.MM.yyyy" </w:instrText>
          </w:r>
          <w:r w:rsidRPr="001D1410">
            <w:rPr>
              <w:rFonts w:ascii="Meta" w:hAnsi="Meta"/>
            </w:rPr>
            <w:fldChar w:fldCharType="separate"/>
          </w:r>
          <w:r w:rsidR="00F94C1D">
            <w:rPr>
              <w:rFonts w:ascii="Meta" w:hAnsi="Meta"/>
              <w:noProof/>
            </w:rPr>
            <w:t>06.02.2026</w:t>
          </w:r>
          <w:r w:rsidRPr="001D1410">
            <w:rPr>
              <w:rFonts w:ascii="Meta" w:hAnsi="Meta"/>
            </w:rPr>
            <w:fldChar w:fldCharType="end"/>
          </w:r>
          <w:r w:rsidRPr="001D1410">
            <w:rPr>
              <w:rFonts w:ascii="Meta" w:hAnsi="Meta"/>
            </w:rPr>
            <w:t xml:space="preserve"> – </w:t>
          </w:r>
          <w:r w:rsidR="007C536B">
            <w:rPr>
              <w:rFonts w:ascii="Meta" w:hAnsi="Meta"/>
            </w:rPr>
            <w:t>Server</w:t>
          </w:r>
        </w:p>
      </w:tc>
      <w:tc>
        <w:tcPr>
          <w:tcW w:w="1984" w:type="dxa"/>
        </w:tcPr>
        <w:p w14:paraId="1E64E041" w14:textId="498985EE" w:rsidR="00437B9D" w:rsidRDefault="004100F1">
          <w:pPr>
            <w:pStyle w:val="Kopfzeile"/>
          </w:pPr>
          <w:r>
            <w:rPr>
              <w:noProof/>
            </w:rPr>
            <w:drawing>
              <wp:inline distT="0" distB="0" distL="0" distR="0" wp14:anchorId="3BE3D347" wp14:editId="56A3917D">
                <wp:extent cx="885825" cy="437702"/>
                <wp:effectExtent l="0" t="0" r="0" b="63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887" cy="445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FBE8D8" w14:textId="77777777" w:rsidR="00437B9D" w:rsidRPr="003D79E3" w:rsidRDefault="00437B9D" w:rsidP="003D79E3"/>
      </w:tc>
    </w:tr>
  </w:tbl>
  <w:p w14:paraId="1343D247" w14:textId="77777777" w:rsidR="00437B9D" w:rsidRPr="009D30EC" w:rsidRDefault="00437B9D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7973"/>
    <w:multiLevelType w:val="hybridMultilevel"/>
    <w:tmpl w:val="33BAEE0A"/>
    <w:lvl w:ilvl="0" w:tplc="07AEE31C">
      <w:numFmt w:val="bullet"/>
      <w:lvlText w:val="-"/>
      <w:lvlJc w:val="left"/>
      <w:pPr>
        <w:ind w:left="-1625" w:hanging="360"/>
      </w:pPr>
      <w:rPr>
        <w:rFonts w:ascii="MetaNormal-Roman" w:eastAsia="Times New Roman" w:hAnsi="MetaNormal-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1" w15:restartNumberingAfterBreak="0">
    <w:nsid w:val="44E95E4A"/>
    <w:multiLevelType w:val="hybridMultilevel"/>
    <w:tmpl w:val="E60ABE56"/>
    <w:lvl w:ilvl="0" w:tplc="55FCF6A0">
      <w:start w:val="12"/>
      <w:numFmt w:val="bullet"/>
      <w:lvlText w:val="-"/>
      <w:lvlJc w:val="left"/>
      <w:pPr>
        <w:ind w:left="720" w:hanging="360"/>
      </w:pPr>
      <w:rPr>
        <w:rFonts w:ascii="MetaNormal-Roman" w:eastAsia="Times New Roman" w:hAnsi="MetaNormal-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12413">
    <w:abstractNumId w:val="1"/>
  </w:num>
  <w:num w:numId="2" w16cid:durableId="192499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6B"/>
    <w:rsid w:val="00037CE5"/>
    <w:rsid w:val="000A36D6"/>
    <w:rsid w:val="000D7614"/>
    <w:rsid w:val="00117640"/>
    <w:rsid w:val="0013357E"/>
    <w:rsid w:val="001C7BDF"/>
    <w:rsid w:val="001F013E"/>
    <w:rsid w:val="002216D6"/>
    <w:rsid w:val="00255AAB"/>
    <w:rsid w:val="00282D31"/>
    <w:rsid w:val="003E0289"/>
    <w:rsid w:val="003F3E86"/>
    <w:rsid w:val="004049C8"/>
    <w:rsid w:val="004100F1"/>
    <w:rsid w:val="00425690"/>
    <w:rsid w:val="00437B9D"/>
    <w:rsid w:val="004407BA"/>
    <w:rsid w:val="004B7279"/>
    <w:rsid w:val="004F1FFF"/>
    <w:rsid w:val="0059740C"/>
    <w:rsid w:val="006111DB"/>
    <w:rsid w:val="006140BF"/>
    <w:rsid w:val="00775ECB"/>
    <w:rsid w:val="007849A5"/>
    <w:rsid w:val="007919D5"/>
    <w:rsid w:val="007C536B"/>
    <w:rsid w:val="008216F7"/>
    <w:rsid w:val="0089484B"/>
    <w:rsid w:val="00914CBA"/>
    <w:rsid w:val="009C6256"/>
    <w:rsid w:val="00A71F8D"/>
    <w:rsid w:val="00A91B28"/>
    <w:rsid w:val="00AB3EAE"/>
    <w:rsid w:val="00AD1752"/>
    <w:rsid w:val="00B62040"/>
    <w:rsid w:val="00B81D72"/>
    <w:rsid w:val="00C93EE3"/>
    <w:rsid w:val="00D43148"/>
    <w:rsid w:val="00D51DDB"/>
    <w:rsid w:val="00DA12A8"/>
    <w:rsid w:val="00DE3C0F"/>
    <w:rsid w:val="00E06705"/>
    <w:rsid w:val="00E2209F"/>
    <w:rsid w:val="00E3717F"/>
    <w:rsid w:val="00E64C1C"/>
    <w:rsid w:val="00E83912"/>
    <w:rsid w:val="00E946FD"/>
    <w:rsid w:val="00EF612D"/>
    <w:rsid w:val="00F114AF"/>
    <w:rsid w:val="00F36C60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A2479D"/>
  <w15:chartTrackingRefBased/>
  <w15:docId w15:val="{26D376C5-CEB9-4E09-B02A-D273E5B1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36B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C53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C536B"/>
    <w:rPr>
      <w:rFonts w:ascii="MetaNormal-Roman" w:eastAsia="Times New Roman" w:hAnsi="MetaNormal-Roman" w:cs="Arial"/>
      <w:sz w:val="21"/>
      <w:szCs w:val="21"/>
      <w:lang w:eastAsia="de-DE"/>
    </w:rPr>
  </w:style>
  <w:style w:type="table" w:styleId="Tabellenraster">
    <w:name w:val="Table Grid"/>
    <w:basedOn w:val="NormaleTabelle"/>
    <w:rsid w:val="007C53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53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536B"/>
    <w:rPr>
      <w:rFonts w:ascii="MetaNormal-Roman" w:eastAsia="Times New Roman" w:hAnsi="MetaNormal-Roman" w:cs="Arial"/>
      <w:sz w:val="21"/>
      <w:szCs w:val="21"/>
      <w:lang w:eastAsia="de-DE"/>
    </w:rPr>
  </w:style>
  <w:style w:type="paragraph" w:styleId="Listenabsatz">
    <w:name w:val="List Paragraph"/>
    <w:basedOn w:val="Standard"/>
    <w:uiPriority w:val="34"/>
    <w:qFormat/>
    <w:rsid w:val="00F114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D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D3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Janßen, Ulrich</dc:creator>
  <cp:keywords/>
  <dc:description/>
  <cp:lastModifiedBy>Lübbers, Mira</cp:lastModifiedBy>
  <cp:revision>8</cp:revision>
  <cp:lastPrinted>2026-01-21T08:11:00Z</cp:lastPrinted>
  <dcterms:created xsi:type="dcterms:W3CDTF">2026-02-05T09:16:00Z</dcterms:created>
  <dcterms:modified xsi:type="dcterms:W3CDTF">2026-02-06T06:43:00Z</dcterms:modified>
</cp:coreProperties>
</file>