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2025-1011-23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sowie Maler- und Lackierarbeiten - Schulzentrum Kinderhaus - energetische Fassaden-Sanierung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 sowie Maler- und Lackierarbeiten:
Schulzentrum Kinderhaus Fassadensanierungsmaßnahmen des Bestandsgebäudes von 1978-1981 unter denkmalpflegerischen Vorgaben. Die Arbeiten sollen in 3. Bauabschnitten durchgeführt.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