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2026-0006-(BL)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Neubau Feuerwehrgerätehaus Thiede, Rohbauarbeiten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Neubau Feuerwehrgerätehaus Thiede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