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9"/>
        <w:gridCol w:w="4808"/>
        <w:gridCol w:w="11"/>
      </w:tblGrid>
      <w:tr>
        <w:tc>
          <w:tcPr>
            <w:tcW w:w="9639" w:type="dxa"/>
            <w:gridSpan w:val="4"/>
            <w:vAlign w:val="center"/>
          </w:tcPr>
          <w:p>
            <w:pPr>
              <w:tabs>
                <w:tab w:val="left" w:pos="705"/>
              </w:tabs>
              <w:spacing w:line="276" w:lineRule="auto"/>
              <w:rPr>
                <w:rFonts w:cstheme="minorHAnsi"/>
                <w:sz w:val="24"/>
                <w:szCs w:val="24"/>
              </w:rPr>
            </w:pPr>
            <w:sdt>
              <w:sdtPr>
                <w:rPr>
                  <w:rFonts w:cstheme="minorHAnsi"/>
                  <w:sz w:val="24"/>
                  <w:szCs w:val="24"/>
                </w:rPr>
                <w:id w:val="157577694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Bewerber/Bieter</w:t>
            </w:r>
          </w:p>
        </w:tc>
      </w:tr>
      <w:tr>
        <w:tc>
          <w:tcPr>
            <w:tcW w:w="9639" w:type="dxa"/>
            <w:gridSpan w:val="4"/>
            <w:vAlign w:val="center"/>
          </w:tcPr>
          <w:p>
            <w:pPr>
              <w:tabs>
                <w:tab w:val="left" w:pos="705"/>
              </w:tabs>
              <w:spacing w:before="180" w:after="180" w:line="276" w:lineRule="auto"/>
              <w:rPr>
                <w:rFonts w:cstheme="minorHAnsi"/>
                <w:b/>
                <w:sz w:val="24"/>
                <w:szCs w:val="24"/>
              </w:rPr>
            </w:pPr>
            <w:r>
              <w:rPr>
                <w:rFonts w:cstheme="minorHAnsi"/>
                <w:b/>
                <w:sz w:val="24"/>
                <w:szCs w:val="24"/>
              </w:rPr>
              <w:t>oder</w:t>
            </w:r>
          </w:p>
        </w:tc>
      </w:tr>
      <w:tr>
        <w:tc>
          <w:tcPr>
            <w:tcW w:w="4531" w:type="dxa"/>
            <w:tcBorders>
              <w:right w:val="single" w:sz="4" w:space="0" w:color="auto"/>
            </w:tcBorders>
          </w:tcPr>
          <w:p>
            <w:pPr>
              <w:tabs>
                <w:tab w:val="left" w:pos="705"/>
              </w:tabs>
              <w:rPr>
                <w:rFonts w:cstheme="minorHAnsi"/>
                <w:sz w:val="24"/>
                <w:szCs w:val="24"/>
              </w:rPr>
            </w:pPr>
            <w:sdt>
              <w:sdtPr>
                <w:rPr>
                  <w:rFonts w:cstheme="minorHAnsi"/>
                  <w:sz w:val="24"/>
                  <w:szCs w:val="24"/>
                </w:rPr>
                <w:id w:val="441041170"/>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Mitglied der Bewerber- bzw. Bietergemeinschaft</w:t>
            </w:r>
          </w:p>
          <w:p>
            <w:pPr>
              <w:tabs>
                <w:tab w:val="left" w:pos="705"/>
              </w:tabs>
              <w:rPr>
                <w:rFonts w:cstheme="minorHAnsi"/>
                <w:sz w:val="24"/>
                <w:szCs w:val="24"/>
              </w:rPr>
            </w:pPr>
            <w:sdt>
              <w:sdtPr>
                <w:rPr>
                  <w:rFonts w:cstheme="minorHAnsi"/>
                  <w:sz w:val="24"/>
                  <w:szCs w:val="24"/>
                </w:rPr>
                <w:id w:val="-4083302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Unterauftragnehmer/Eignungsleihender</w:t>
            </w:r>
          </w:p>
          <w:p>
            <w:pPr>
              <w:tabs>
                <w:tab w:val="left" w:pos="705"/>
              </w:tabs>
              <w:spacing w:line="276" w:lineRule="auto"/>
              <w:rPr>
                <w:rFonts w:cstheme="minorHAnsi"/>
                <w:sz w:val="24"/>
                <w:szCs w:val="24"/>
              </w:rPr>
            </w:pPr>
          </w:p>
        </w:tc>
        <w:tc>
          <w:tcPr>
            <w:tcW w:w="5108" w:type="dxa"/>
            <w:gridSpan w:val="3"/>
            <w:tcBorders>
              <w:top w:val="single" w:sz="4" w:space="0" w:color="auto"/>
              <w:left w:val="single" w:sz="4" w:space="0" w:color="auto"/>
              <w:bottom w:val="single" w:sz="4" w:space="0" w:color="auto"/>
              <w:right w:val="single" w:sz="4" w:space="0" w:color="auto"/>
            </w:tcBorders>
          </w:tcPr>
          <w:p>
            <w:pPr>
              <w:rPr>
                <w:rFonts w:cstheme="minorHAnsi"/>
                <w:b/>
                <w:sz w:val="24"/>
                <w:szCs w:val="24"/>
              </w:rPr>
            </w:pPr>
            <w:r>
              <w:rPr>
                <w:rFonts w:cstheme="minorHAnsi"/>
                <w:b/>
                <w:sz w:val="24"/>
                <w:szCs w:val="24"/>
              </w:rPr>
              <w:t>Name der juristischen Person bzw. der natürlichen Person, die diese Erklärung abgibt</w:t>
            </w: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9628" w:type="dxa"/>
            <w:gridSpan w:val="3"/>
            <w:tcBorders>
              <w:top w:val="nil"/>
              <w:left w:val="nil"/>
              <w:bottom w:val="single" w:sz="4" w:space="0" w:color="auto"/>
              <w:right w:val="nil"/>
            </w:tcBorders>
            <w:vAlign w:val="center"/>
          </w:tcPr>
          <w:p>
            <w:pPr>
              <w:pStyle w:val="KeinLeerraum"/>
              <w:spacing w:before="420" w:after="120" w:line="240" w:lineRule="auto"/>
              <w:rPr>
                <w:rFonts w:asciiTheme="minorHAnsi" w:eastAsiaTheme="majorEastAsia" w:hAnsiTheme="minorHAnsi" w:cstheme="minorHAnsi"/>
                <w:iCs/>
                <w:color w:val="000000" w:themeColor="text1"/>
                <w:sz w:val="24"/>
                <w:szCs w:val="24"/>
              </w:rPr>
            </w:pPr>
            <w:sdt>
              <w:sdtPr>
                <w:rPr>
                  <w:rStyle w:val="UntertitelZchn"/>
                  <w:rFonts w:asciiTheme="minorHAnsi" w:hAnsiTheme="minorHAnsi" w:cstheme="minorHAnsi"/>
                  <w:sz w:val="24"/>
                </w:rPr>
                <w:id w:val="900331090"/>
                <w14:checkbox>
                  <w14:checked w14:val="0"/>
                  <w14:checkedState w14:val="2612" w14:font="MS Gothic"/>
                  <w14:uncheckedState w14:val="2610" w14:font="MS Gothic"/>
                </w14:checkbox>
              </w:sdtPr>
              <w:sdtContent>
                <w:r>
                  <w:rPr>
                    <w:rStyle w:val="UntertitelZchn"/>
                    <w:rFonts w:ascii="Segoe UI Symbol" w:eastAsia="MS Gothic" w:hAnsi="Segoe UI Symbol" w:cs="Segoe UI Symbol"/>
                    <w:sz w:val="24"/>
                  </w:rPr>
                  <w:t>☐</w:t>
                </w:r>
              </w:sdtContent>
            </w:sdt>
            <w:r>
              <w:rPr>
                <w:rStyle w:val="UntertitelZchn"/>
                <w:rFonts w:asciiTheme="minorHAnsi" w:hAnsiTheme="minorHAnsi" w:cstheme="minorHAnsi"/>
                <w:sz w:val="24"/>
              </w:rPr>
              <w:t xml:space="preserve"> Mein Unternehmen ist für die zu vergebende Leistung in folgender Datenbank präqualifiziert:</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sdt>
              <w:sdtPr>
                <w:rPr>
                  <w:rStyle w:val="Hyperlink"/>
                  <w:rFonts w:asciiTheme="minorHAnsi" w:hAnsiTheme="minorHAnsi" w:cstheme="minorHAnsi"/>
                  <w:color w:val="auto"/>
                  <w:sz w:val="24"/>
                  <w:szCs w:val="24"/>
                  <w:u w:val="none"/>
                </w:rPr>
                <w:id w:val="1738584991"/>
                <w14:checkbox>
                  <w14:checked w14:val="0"/>
                  <w14:checkedState w14:val="2612" w14:font="MS Gothic"/>
                  <w14:uncheckedState w14:val="2610" w14:font="MS Gothic"/>
                </w14:checkbox>
              </w:sdtPr>
              <w:sdtContent>
                <w:r>
                  <w:rPr>
                    <w:rStyle w:val="Hyperlink"/>
                    <w:rFonts w:ascii="Segoe UI Symbol" w:eastAsia="MS Gothic" w:hAnsi="Segoe UI Symbol" w:cs="Segoe UI Symbol"/>
                    <w:color w:val="auto"/>
                    <w:sz w:val="24"/>
                    <w:szCs w:val="24"/>
                    <w:u w:val="none"/>
                  </w:rPr>
                  <w:t>☐</w:t>
                </w:r>
              </w:sdtContent>
            </w:sdt>
            <w:r>
              <w:rPr>
                <w:rStyle w:val="Hyperlink"/>
                <w:rFonts w:asciiTheme="minorHAnsi" w:hAnsiTheme="minorHAnsi" w:cstheme="minorHAnsi"/>
                <w:color w:val="auto"/>
                <w:sz w:val="24"/>
                <w:szCs w:val="24"/>
                <w:u w:val="none"/>
              </w:rPr>
              <w:t xml:space="preserve"> Amtliches Verzeichnis der IHK</w:t>
            </w:r>
          </w:p>
        </w:tc>
        <w:tc>
          <w:tcPr>
            <w:tcW w:w="4808"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sdt>
              <w:sdtPr>
                <w:rPr>
                  <w:rFonts w:asciiTheme="minorHAnsi" w:hAnsiTheme="minorHAnsi" w:cstheme="minorHAnsi"/>
                  <w:sz w:val="24"/>
                  <w:szCs w:val="24"/>
                </w:rPr>
                <w:id w:val="87806194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 xml:space="preserve"> Verein für die Präqualifikation von Bauunternehmen</w:t>
            </w:r>
          </w:p>
        </w:tc>
        <w:tc>
          <w:tcPr>
            <w:tcW w:w="4808"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80"/>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sdt>
              <w:sdtPr>
                <w:rPr>
                  <w:rFonts w:asciiTheme="minorHAnsi" w:hAnsiTheme="minorHAnsi" w:cstheme="minorHAnsi"/>
                  <w:sz w:val="24"/>
                  <w:szCs w:val="24"/>
                </w:rPr>
                <w:id w:val="-537354574"/>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 xml:space="preserve"> </w:t>
            </w:r>
          </w:p>
        </w:tc>
        <w:tc>
          <w:tcPr>
            <w:tcW w:w="4808"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984"/>
          <w:jc w:val="center"/>
        </w:trPr>
        <w:tc>
          <w:tcPr>
            <w:tcW w:w="9628" w:type="dxa"/>
            <w:gridSpan w:val="3"/>
            <w:tcBorders>
              <w:top w:val="single" w:sz="4" w:space="0" w:color="auto"/>
              <w:left w:val="nil"/>
              <w:bottom w:val="nil"/>
              <w:right w:val="nil"/>
            </w:tcBorders>
          </w:tcPr>
          <w:p>
            <w:pPr>
              <w:spacing w:before="420"/>
              <w:ind w:left="284" w:hanging="284"/>
              <w:jc w:val="center"/>
              <w:rPr>
                <w:rFonts w:cstheme="minorHAnsi"/>
                <w:b/>
                <w:sz w:val="16"/>
                <w:szCs w:val="16"/>
                <w:u w:val="single"/>
              </w:rPr>
            </w:pPr>
          </w:p>
          <w:p>
            <w:pPr>
              <w:spacing w:before="420"/>
              <w:ind w:left="284" w:hanging="284"/>
              <w:jc w:val="center"/>
              <w:rPr>
                <w:rFonts w:cstheme="minorHAnsi"/>
                <w:b/>
                <w:sz w:val="24"/>
                <w:szCs w:val="24"/>
                <w:u w:val="single"/>
              </w:rPr>
            </w:pPr>
            <w:r>
              <w:rPr>
                <w:rFonts w:cstheme="minorHAnsi"/>
                <w:b/>
                <w:sz w:val="24"/>
                <w:szCs w:val="24"/>
                <w:u w:val="single"/>
              </w:rPr>
              <w:t>Sollte Ihr Unternehmen präqualifiziert sein, sind keine weiteren Eintragungen notwendig!</w:t>
            </w:r>
          </w:p>
          <w:p>
            <w:pPr>
              <w:spacing w:before="480"/>
              <w:ind w:left="284" w:hanging="284"/>
              <w:jc w:val="both"/>
              <w:rPr>
                <w:rFonts w:cstheme="minorHAnsi"/>
                <w:sz w:val="24"/>
                <w:szCs w:val="24"/>
              </w:rPr>
            </w:pPr>
            <w:sdt>
              <w:sdtPr>
                <w:rPr>
                  <w:rFonts w:cstheme="minorHAnsi"/>
                  <w:sz w:val="24"/>
                  <w:szCs w:val="24"/>
                </w:rPr>
                <w:id w:val="-79845797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Mein Unternehmen ist für die zu vergebende Leistung in keiner Datenbank präqualifiziert. Daher erkläre ich zur Zuverlässigkeit und Eignung meines Unternehmens Folgendes: </w:t>
            </w:r>
          </w:p>
          <w:p>
            <w:pPr>
              <w:spacing w:before="480"/>
              <w:ind w:left="284" w:hanging="284"/>
              <w:jc w:val="both"/>
              <w:rPr>
                <w:rFonts w:cstheme="minorHAnsi"/>
                <w:sz w:val="2"/>
                <w:szCs w:val="2"/>
              </w:rPr>
            </w:pPr>
          </w:p>
        </w:tc>
      </w:tr>
    </w:tbl>
    <w:p>
      <w:pPr>
        <w:pStyle w:val="Listenabsatz"/>
        <w:numPr>
          <w:ilvl w:val="0"/>
          <w:numId w:val="24"/>
        </w:numPr>
        <w:spacing w:before="240" w:after="60"/>
        <w:ind w:left="426" w:hanging="284"/>
        <w:jc w:val="both"/>
        <w:rPr>
          <w:rFonts w:cstheme="minorHAnsi"/>
          <w:sz w:val="24"/>
          <w:szCs w:val="24"/>
        </w:rPr>
      </w:pPr>
      <w:r>
        <w:rPr>
          <w:rFonts w:cstheme="minorHAnsi"/>
          <w:sz w:val="24"/>
          <w:szCs w:val="24"/>
        </w:rPr>
        <w:t>Ich/Wir erkläre(n), dass</w:t>
      </w:r>
    </w:p>
    <w:p>
      <w:pPr>
        <w:pStyle w:val="Listenabsatz"/>
        <w:spacing w:before="240" w:after="60"/>
        <w:ind w:left="454"/>
        <w:jc w:val="both"/>
        <w:rPr>
          <w:rFonts w:cstheme="minorHAnsi"/>
          <w:sz w:val="24"/>
          <w:szCs w:val="24"/>
        </w:rPr>
      </w:pPr>
    </w:p>
    <w:p>
      <w:pPr>
        <w:pStyle w:val="Listenabsatz"/>
        <w:numPr>
          <w:ilvl w:val="0"/>
          <w:numId w:val="19"/>
        </w:numPr>
        <w:spacing w:before="240" w:after="60"/>
        <w:jc w:val="both"/>
        <w:rPr>
          <w:rFonts w:cstheme="minorHAnsi"/>
          <w:sz w:val="24"/>
          <w:szCs w:val="24"/>
        </w:rPr>
      </w:pPr>
      <w:r>
        <w:rPr>
          <w:rFonts w:cstheme="minorHAnsi"/>
          <w:sz w:val="24"/>
          <w:szCs w:val="24"/>
        </w:rPr>
        <w:t>keine Person, deren Verhalten</w:t>
      </w:r>
      <w:r>
        <w:rPr>
          <w:rStyle w:val="Funotenzeichen"/>
          <w:rFonts w:cstheme="minorHAnsi"/>
          <w:sz w:val="24"/>
          <w:szCs w:val="24"/>
        </w:rPr>
        <w:footnoteReference w:id="1"/>
      </w:r>
      <w:r>
        <w:rPr>
          <w:rFonts w:cstheme="minorHAnsi"/>
          <w:sz w:val="24"/>
          <w:szCs w:val="24"/>
        </w:rPr>
        <w:t xml:space="preserve"> meinem/unserem Unternehmen zuzurechnen ist, rechtskräftig verurteilt und auch gegen mein/unser Unternehmen keine Geldbuße nach </w:t>
      </w:r>
      <w:r>
        <w:rPr>
          <w:rFonts w:cstheme="minorHAnsi"/>
          <w:sz w:val="24"/>
          <w:szCs w:val="24"/>
        </w:rPr>
        <w:lastRenderedPageBreak/>
        <w:t>§ 30 des Gesetzes über Ordnungswidrigkeiten rechtskräftig festgesetzt worden ist wegen einer Straftat nach</w:t>
      </w:r>
      <w:r>
        <w:rPr>
          <w:rStyle w:val="Funotenzeichen"/>
          <w:rFonts w:cstheme="minorHAnsi"/>
          <w:sz w:val="24"/>
          <w:szCs w:val="24"/>
        </w:rPr>
        <w:footnoteReference w:id="2"/>
      </w:r>
      <w:r>
        <w:rPr>
          <w:rFonts w:cstheme="minorHAnsi"/>
          <w:sz w:val="24"/>
          <w:szCs w:val="24"/>
        </w:rPr>
        <w:t>:</w:t>
      </w:r>
    </w:p>
    <w:p>
      <w:pPr>
        <w:pStyle w:val="Listenabsatz"/>
        <w:spacing w:before="240" w:after="60"/>
        <w:ind w:left="814"/>
        <w:jc w:val="both"/>
        <w:rPr>
          <w:rFonts w:cstheme="minorHAnsi"/>
          <w:sz w:val="24"/>
          <w:szCs w:val="24"/>
        </w:rPr>
      </w:pPr>
    </w:p>
    <w:p>
      <w:pPr>
        <w:pStyle w:val="Listenabsatz"/>
        <w:spacing w:before="240" w:after="60"/>
        <w:ind w:left="1276" w:hanging="425"/>
        <w:jc w:val="both"/>
        <w:rPr>
          <w:rFonts w:cstheme="minorHAnsi"/>
          <w:sz w:val="24"/>
          <w:szCs w:val="24"/>
        </w:rPr>
      </w:pPr>
      <w:r>
        <w:rPr>
          <w:rFonts w:cstheme="minorHAnsi"/>
          <w:sz w:val="24"/>
          <w:szCs w:val="24"/>
        </w:rPr>
        <w:t>1.</w:t>
      </w:r>
      <w:r>
        <w:rPr>
          <w:rFonts w:cstheme="minorHAnsi"/>
          <w:sz w:val="24"/>
          <w:szCs w:val="24"/>
        </w:rPr>
        <w:tab/>
        <w:t>§ 129 des Strafgesetzbuchs (Bildung krimineller Vereinigungen), § 129a des Strafgesetzbuchs (Bildung terroristischer Vereinigungen) oder § 129b des Strafgesetzbuchs (Kriminelle und terroristische Vereinigungen im Ausland),</w:t>
      </w:r>
    </w:p>
    <w:p>
      <w:pPr>
        <w:pStyle w:val="Listenabsatz"/>
        <w:spacing w:before="240" w:after="60"/>
        <w:ind w:left="1276" w:hanging="425"/>
        <w:jc w:val="both"/>
        <w:rPr>
          <w:rFonts w:cstheme="minorHAnsi"/>
          <w:sz w:val="24"/>
          <w:szCs w:val="24"/>
        </w:rPr>
      </w:pPr>
      <w:r>
        <w:rPr>
          <w:rFonts w:cstheme="minorHAnsi"/>
          <w:sz w:val="24"/>
          <w:szCs w:val="24"/>
        </w:rPr>
        <w:t>2.</w:t>
      </w:r>
      <w:r>
        <w:rPr>
          <w:rFonts w:cstheme="minorHAnsi"/>
          <w:sz w:val="24"/>
          <w:szCs w:val="24"/>
        </w:rPr>
        <w:tab/>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pPr>
        <w:pStyle w:val="Listenabsatz"/>
        <w:spacing w:before="240" w:after="60"/>
        <w:ind w:left="1276" w:hanging="425"/>
        <w:jc w:val="both"/>
        <w:rPr>
          <w:rFonts w:cstheme="minorHAnsi"/>
          <w:sz w:val="24"/>
          <w:szCs w:val="24"/>
        </w:rPr>
      </w:pPr>
      <w:r>
        <w:rPr>
          <w:rFonts w:cstheme="minorHAnsi"/>
          <w:sz w:val="24"/>
          <w:szCs w:val="24"/>
        </w:rPr>
        <w:t>3.</w:t>
      </w:r>
      <w:r>
        <w:rPr>
          <w:rFonts w:cstheme="minorHAnsi"/>
          <w:sz w:val="24"/>
          <w:szCs w:val="24"/>
        </w:rPr>
        <w:tab/>
        <w:t>§ 261 des Strafgesetzbuchs (Geldwäsche; Verschleierung unrechtmäßig erlangter Vermögenswerte),</w:t>
      </w:r>
    </w:p>
    <w:p>
      <w:pPr>
        <w:pStyle w:val="Listenabsatz"/>
        <w:spacing w:before="240" w:after="60"/>
        <w:ind w:left="1276" w:hanging="425"/>
        <w:jc w:val="both"/>
        <w:rPr>
          <w:rFonts w:cstheme="minorHAnsi"/>
          <w:sz w:val="24"/>
          <w:szCs w:val="24"/>
        </w:rPr>
      </w:pPr>
      <w:r>
        <w:rPr>
          <w:rFonts w:cstheme="minorHAnsi"/>
          <w:sz w:val="24"/>
          <w:szCs w:val="24"/>
        </w:rPr>
        <w:t>4.</w:t>
      </w:r>
      <w:r>
        <w:rPr>
          <w:rFonts w:cstheme="minorHAnsi"/>
          <w:sz w:val="24"/>
          <w:szCs w:val="24"/>
        </w:rPr>
        <w:tab/>
        <w:t>§ 263 des Strafgesetzbuchs (Betrug), soweit sich die Straftat gegen den Haushalt der Europäischen Union oder gegen Haushalte richtet, die von der Europäischen Union oder in ihrem Auftrag verwaltet werden,</w:t>
      </w:r>
    </w:p>
    <w:p>
      <w:pPr>
        <w:pStyle w:val="Listenabsatz"/>
        <w:spacing w:before="240" w:after="60"/>
        <w:ind w:left="1276" w:hanging="425"/>
        <w:jc w:val="both"/>
        <w:rPr>
          <w:rFonts w:cstheme="minorHAnsi"/>
          <w:sz w:val="24"/>
          <w:szCs w:val="24"/>
        </w:rPr>
      </w:pPr>
      <w:r>
        <w:rPr>
          <w:rFonts w:cstheme="minorHAnsi"/>
          <w:sz w:val="24"/>
          <w:szCs w:val="24"/>
        </w:rPr>
        <w:t>5.</w:t>
      </w:r>
      <w:r>
        <w:rPr>
          <w:rFonts w:cstheme="minorHAnsi"/>
          <w:sz w:val="24"/>
          <w:szCs w:val="24"/>
        </w:rPr>
        <w:tab/>
        <w:t>§ 264 des Strafgesetzbuchs (Subventionsbetrug), soweit sich die Straftat gegen den Haushalt der Europäischen Union oder gegen Haushalte richtet, die von der Europäischen Union oder in ihrem Auftrag verwaltet werden,</w:t>
      </w:r>
    </w:p>
    <w:p>
      <w:pPr>
        <w:pStyle w:val="Listenabsatz"/>
        <w:spacing w:before="240" w:after="60"/>
        <w:ind w:left="1276" w:hanging="425"/>
        <w:jc w:val="both"/>
        <w:rPr>
          <w:rFonts w:cstheme="minorHAnsi"/>
          <w:sz w:val="24"/>
          <w:szCs w:val="24"/>
        </w:rPr>
      </w:pPr>
      <w:r>
        <w:rPr>
          <w:rFonts w:cstheme="minorHAnsi"/>
          <w:sz w:val="24"/>
          <w:szCs w:val="24"/>
        </w:rPr>
        <w:t>6.</w:t>
      </w:r>
      <w:r>
        <w:rPr>
          <w:rFonts w:cstheme="minorHAnsi"/>
          <w:sz w:val="24"/>
          <w:szCs w:val="24"/>
        </w:rPr>
        <w:tab/>
        <w:t>§ 299 des Strafgesetzbuchs (Bestechlichkeit und Bestechung im geschäftlichen Verkehr),</w:t>
      </w:r>
    </w:p>
    <w:p>
      <w:pPr>
        <w:pStyle w:val="Listenabsatz"/>
        <w:spacing w:before="240" w:after="60"/>
        <w:ind w:left="1276" w:hanging="425"/>
        <w:jc w:val="both"/>
        <w:rPr>
          <w:rFonts w:cstheme="minorHAnsi"/>
          <w:sz w:val="24"/>
          <w:szCs w:val="24"/>
        </w:rPr>
      </w:pPr>
      <w:r>
        <w:rPr>
          <w:rFonts w:cstheme="minorHAnsi"/>
          <w:sz w:val="24"/>
          <w:szCs w:val="24"/>
        </w:rPr>
        <w:t>7.</w:t>
      </w:r>
      <w:r>
        <w:rPr>
          <w:rFonts w:cstheme="minorHAnsi"/>
          <w:sz w:val="24"/>
          <w:szCs w:val="24"/>
        </w:rPr>
        <w:tab/>
        <w:t>§ 108e des Strafgesetzbuchs (Bestechlichkeit und Bestechung von Mandatsträgern),</w:t>
      </w:r>
    </w:p>
    <w:p>
      <w:pPr>
        <w:pStyle w:val="Listenabsatz"/>
        <w:spacing w:before="240" w:after="60"/>
        <w:ind w:left="1276" w:hanging="425"/>
        <w:jc w:val="both"/>
        <w:rPr>
          <w:rFonts w:cstheme="minorHAnsi"/>
          <w:sz w:val="24"/>
          <w:szCs w:val="24"/>
        </w:rPr>
      </w:pPr>
      <w:r>
        <w:rPr>
          <w:rFonts w:cstheme="minorHAnsi"/>
          <w:sz w:val="24"/>
          <w:szCs w:val="24"/>
        </w:rPr>
        <w:t>8.</w:t>
      </w:r>
      <w:r>
        <w:rPr>
          <w:rFonts w:cstheme="minorHAnsi"/>
          <w:sz w:val="24"/>
          <w:szCs w:val="24"/>
        </w:rPr>
        <w:tab/>
        <w:t>den §§ 333 und 334 des Strafgesetzbuchs (Vorteilsgewährung und Bestechung), jeweils auch in Verbindung mit § 335a des Strafgesetzbuchs (Ausländische und internationale Bedienstete),</w:t>
      </w:r>
    </w:p>
    <w:p>
      <w:pPr>
        <w:pStyle w:val="Listenabsatz"/>
        <w:spacing w:before="240" w:after="60"/>
        <w:ind w:left="1276" w:hanging="425"/>
        <w:jc w:val="both"/>
        <w:rPr>
          <w:rFonts w:cstheme="minorHAnsi"/>
          <w:sz w:val="24"/>
          <w:szCs w:val="24"/>
        </w:rPr>
      </w:pPr>
      <w:r>
        <w:rPr>
          <w:rFonts w:cstheme="minorHAnsi"/>
          <w:sz w:val="24"/>
          <w:szCs w:val="24"/>
        </w:rPr>
        <w:t>9.</w:t>
      </w:r>
      <w:r>
        <w:rPr>
          <w:rFonts w:cstheme="minorHAnsi"/>
          <w:sz w:val="24"/>
          <w:szCs w:val="24"/>
        </w:rPr>
        <w:tab/>
        <w:t>Artikel 2 § 2 des Gesetzes zur Bekämpfung internationaler Bestechung (Bestechung ausländischer Abgeordneter im Zusammenhang mit internationalem Geschäftsverkehr) oder</w:t>
      </w:r>
    </w:p>
    <w:p>
      <w:pPr>
        <w:pStyle w:val="Listenabsatz"/>
        <w:spacing w:before="240" w:after="60"/>
        <w:ind w:left="1276" w:hanging="425"/>
        <w:jc w:val="both"/>
        <w:rPr>
          <w:rFonts w:cstheme="minorHAnsi"/>
          <w:sz w:val="24"/>
          <w:szCs w:val="24"/>
        </w:rPr>
      </w:pPr>
      <w:r>
        <w:rPr>
          <w:rFonts w:cstheme="minorHAnsi"/>
          <w:sz w:val="24"/>
          <w:szCs w:val="24"/>
        </w:rPr>
        <w:t>10.</w:t>
      </w:r>
      <w:r>
        <w:rPr>
          <w:rFonts w:cstheme="minorHAnsi"/>
          <w:sz w:val="24"/>
          <w:szCs w:val="24"/>
        </w:rPr>
        <w:tab/>
        <w:t>den §§ 232, 232a Absatz 1 bis 5, den §§ 232b bis und 233a des Strafgesetzbuchs (Menschenhandel, Zwangsprostitution, Zwangsarbeit, Ausbeutung der Arbeitskraft, Ausbeutung unter Ausnutzung einer Freiheitsberaubung),</w:t>
      </w:r>
    </w:p>
    <w:p>
      <w:pPr>
        <w:pStyle w:val="Listenabsatz"/>
        <w:spacing w:before="240" w:after="60"/>
        <w:ind w:left="454"/>
        <w:jc w:val="both"/>
        <w:rPr>
          <w:rFonts w:cstheme="minorHAnsi"/>
          <w:sz w:val="24"/>
          <w:szCs w:val="24"/>
        </w:rPr>
      </w:pPr>
    </w:p>
    <w:p>
      <w:pPr>
        <w:pStyle w:val="Listenabsatz"/>
        <w:spacing w:before="240" w:after="60"/>
        <w:ind w:left="454"/>
        <w:jc w:val="both"/>
        <w:rPr>
          <w:rFonts w:cstheme="minorHAnsi"/>
          <w:sz w:val="24"/>
          <w:szCs w:val="24"/>
        </w:rPr>
      </w:pPr>
    </w:p>
    <w:p>
      <w:pPr>
        <w:pStyle w:val="Listenabsatz"/>
        <w:spacing w:before="240" w:after="60"/>
        <w:ind w:left="454"/>
        <w:jc w:val="both"/>
        <w:rPr>
          <w:rFonts w:cstheme="minorHAnsi"/>
          <w:sz w:val="24"/>
          <w:szCs w:val="24"/>
        </w:rPr>
      </w:pPr>
    </w:p>
    <w:p>
      <w:pPr>
        <w:pStyle w:val="Listenabsatz"/>
        <w:numPr>
          <w:ilvl w:val="0"/>
          <w:numId w:val="19"/>
        </w:numPr>
        <w:spacing w:before="240" w:after="60"/>
        <w:jc w:val="both"/>
        <w:rPr>
          <w:rFonts w:cstheme="minorHAnsi"/>
          <w:sz w:val="24"/>
          <w:szCs w:val="24"/>
        </w:rPr>
      </w:pPr>
      <w:r>
        <w:rPr>
          <w:rFonts w:cstheme="minorHAnsi"/>
          <w:sz w:val="24"/>
          <w:szCs w:val="24"/>
        </w:rPr>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pPr>
        <w:spacing w:before="240" w:after="60"/>
        <w:jc w:val="both"/>
        <w:rPr>
          <w:rFonts w:cstheme="minorHAnsi"/>
          <w:sz w:val="24"/>
          <w:szCs w:val="24"/>
        </w:rPr>
      </w:pPr>
    </w:p>
    <w:p>
      <w:pPr>
        <w:spacing w:before="240" w:after="60"/>
        <w:jc w:val="both"/>
        <w:rPr>
          <w:rFonts w:cstheme="minorHAnsi"/>
          <w:sz w:val="24"/>
          <w:szCs w:val="24"/>
        </w:rPr>
      </w:pPr>
    </w:p>
    <w:p>
      <w:pPr>
        <w:pStyle w:val="RevisionJuristischerAbsatz"/>
        <w:numPr>
          <w:ilvl w:val="0"/>
          <w:numId w:val="24"/>
        </w:numPr>
        <w:tabs>
          <w:tab w:val="left" w:pos="426"/>
        </w:tabs>
        <w:ind w:hanging="578"/>
        <w:rPr>
          <w:rFonts w:asciiTheme="minorHAnsi" w:hAnsiTheme="minorHAnsi" w:cstheme="minorHAnsi"/>
          <w:color w:val="auto"/>
          <w:sz w:val="24"/>
          <w:szCs w:val="24"/>
        </w:rPr>
      </w:pPr>
      <w:r>
        <w:rPr>
          <w:rFonts w:asciiTheme="minorHAnsi" w:hAnsiTheme="minorHAnsi" w:cstheme="minorHAnsi"/>
          <w:color w:val="auto"/>
          <w:sz w:val="24"/>
          <w:szCs w:val="24"/>
        </w:rPr>
        <w:t>Ich/wir erkläre(n), dass mein/unser Unternehmen nicht</w:t>
      </w:r>
    </w:p>
    <w:p>
      <w:pPr>
        <w:pStyle w:val="RevisionJuristischerAbsatz"/>
        <w:numPr>
          <w:ilvl w:val="0"/>
          <w:numId w:val="22"/>
        </w:numPr>
        <w:tabs>
          <w:tab w:val="left" w:pos="708"/>
        </w:tabs>
        <w:ind w:left="709" w:hanging="284"/>
        <w:rPr>
          <w:rFonts w:asciiTheme="minorHAnsi" w:hAnsiTheme="minorHAnsi" w:cstheme="minorHAnsi"/>
          <w:color w:val="auto"/>
          <w:sz w:val="24"/>
          <w:szCs w:val="24"/>
        </w:rPr>
      </w:pPr>
      <w:r>
        <w:rPr>
          <w:rFonts w:asciiTheme="minorHAnsi" w:hAnsiTheme="minorHAnsi" w:cstheme="minorHAnsi"/>
          <w:color w:val="auto"/>
          <w:sz w:val="24"/>
          <w:szCs w:val="24"/>
        </w:rPr>
        <w:t>bei der Ausführung öffentlicher Aufträge gegen geltende umwelt-, sozial- oder arbeitsrechtliche Verpflichtungen verstoßen hat,</w:t>
      </w:r>
    </w:p>
    <w:p>
      <w:pPr>
        <w:pStyle w:val="RevisionJuristischerAbsatz"/>
        <w:numPr>
          <w:ilvl w:val="0"/>
          <w:numId w:val="22"/>
        </w:numPr>
        <w:tabs>
          <w:tab w:val="left" w:pos="708"/>
        </w:tabs>
        <w:ind w:left="709" w:hanging="284"/>
        <w:rPr>
          <w:rFonts w:asciiTheme="minorHAnsi" w:hAnsiTheme="minorHAnsi" w:cstheme="minorHAnsi"/>
          <w:color w:val="auto"/>
          <w:sz w:val="24"/>
          <w:szCs w:val="24"/>
        </w:rPr>
      </w:pPr>
      <w:r>
        <w:rPr>
          <w:rFonts w:asciiTheme="minorHAnsi" w:hAnsiTheme="minorHAnsi" w:cstheme="minorHAnsi"/>
          <w:color w:val="auto"/>
          <w:sz w:val="24"/>
          <w:szCs w:val="24"/>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pPr>
        <w:pStyle w:val="RevisionJuristischerAbsatz"/>
        <w:numPr>
          <w:ilvl w:val="0"/>
          <w:numId w:val="22"/>
        </w:numPr>
        <w:tabs>
          <w:tab w:val="left" w:pos="708"/>
        </w:tabs>
        <w:ind w:left="709" w:hanging="284"/>
        <w:rPr>
          <w:rFonts w:asciiTheme="minorHAnsi" w:hAnsiTheme="minorHAnsi" w:cstheme="minorHAnsi"/>
          <w:color w:val="auto"/>
          <w:sz w:val="24"/>
          <w:szCs w:val="24"/>
        </w:rPr>
      </w:pPr>
      <w:r>
        <w:rPr>
          <w:rFonts w:asciiTheme="minorHAnsi" w:hAnsiTheme="minorHAnsi" w:cstheme="minorHAnsi"/>
          <w:color w:val="auto"/>
          <w:sz w:val="24"/>
          <w:szCs w:val="24"/>
        </w:rPr>
        <w:t>im Rahmen der beruflichen Tätigkeit eine schwere Verfehlung begangen hat, durch die die Integrität des Unternehmens</w:t>
      </w:r>
      <w:r>
        <w:rPr>
          <w:rStyle w:val="Funotenzeichen"/>
          <w:rFonts w:asciiTheme="minorHAnsi" w:hAnsiTheme="minorHAnsi" w:cstheme="minorHAnsi"/>
          <w:color w:val="auto"/>
          <w:sz w:val="24"/>
          <w:szCs w:val="24"/>
        </w:rPr>
        <w:footnoteReference w:id="3"/>
      </w:r>
      <w:r>
        <w:rPr>
          <w:rFonts w:asciiTheme="minorHAnsi" w:hAnsiTheme="minorHAnsi" w:cstheme="minorHAnsi"/>
          <w:color w:val="auto"/>
          <w:sz w:val="24"/>
          <w:szCs w:val="24"/>
        </w:rPr>
        <w:t xml:space="preserve"> infrage gestellt wird.</w:t>
      </w:r>
    </w:p>
    <w:p>
      <w:pPr>
        <w:ind w:left="425"/>
        <w:rPr>
          <w:rFonts w:cstheme="minorHAnsi"/>
          <w:sz w:val="24"/>
          <w:szCs w:val="24"/>
        </w:rPr>
      </w:pPr>
      <w:r>
        <w:rPr>
          <w:rFonts w:cstheme="minorHAnsi"/>
          <w:sz w:val="24"/>
          <w:szCs w:val="24"/>
        </w:rPr>
        <w:t>und dass andere Ausschlussgründe nach § 124 Abs. 2 GWB ebenfalls nicht erfüllt sind.</w:t>
      </w:r>
      <w:r>
        <w:rPr>
          <w:rStyle w:val="Funotenzeichen"/>
          <w:rFonts w:cstheme="minorHAnsi"/>
          <w:sz w:val="24"/>
          <w:szCs w:val="24"/>
        </w:rPr>
        <w:footnoteReference w:id="4"/>
      </w:r>
    </w:p>
    <w:p>
      <w:pPr>
        <w:rPr>
          <w:rFonts w:cstheme="minorHAnsi"/>
          <w:sz w:val="24"/>
          <w:szCs w:val="24"/>
        </w:rPr>
      </w:pPr>
    </w:p>
    <w:p>
      <w:pPr>
        <w:jc w:val="both"/>
        <w:rPr>
          <w:rFonts w:cstheme="minorHAnsi"/>
          <w:sz w:val="24"/>
          <w:szCs w:val="24"/>
        </w:rPr>
      </w:pPr>
      <w:r>
        <w:rPr>
          <w:rFonts w:cstheme="minorHAnsi"/>
          <w:sz w:val="24"/>
          <w:szCs w:val="24"/>
        </w:rPr>
        <w:t>Mir/Uns ist bekannt, dass die Unrichtigkeit vorstehender Erklärungen. zu meinem/unserem Ausschluss vom Vergabeverfahren sowie zur fristlosen Kündigung eines etwa erteilten Auftrages wegen Verletzung einer vertraglichen Nebenpflicht aus wichtigem Grunde führen kann.</w:t>
      </w:r>
    </w:p>
    <w:p>
      <w:pPr>
        <w:rPr>
          <w:rFonts w:cstheme="minorHAnsi"/>
          <w:sz w:val="24"/>
          <w:szCs w:val="24"/>
        </w:rPr>
      </w:pPr>
      <w:r>
        <w:rPr>
          <w:rFonts w:cstheme="minorHAnsi"/>
          <w:sz w:val="24"/>
          <w:szCs w:val="24"/>
        </w:rPr>
        <w:br w:type="page"/>
      </w:r>
    </w:p>
    <w:p>
      <w:pPr>
        <w:pStyle w:val="RevisionJuristischerAbsatz"/>
        <w:numPr>
          <w:ilvl w:val="0"/>
          <w:numId w:val="0"/>
        </w:numPr>
        <w:spacing w:before="240"/>
        <w:rPr>
          <w:rFonts w:asciiTheme="minorHAnsi" w:hAnsiTheme="minorHAnsi" w:cstheme="minorHAnsi"/>
          <w:color w:val="auto"/>
          <w:sz w:val="24"/>
          <w:szCs w:val="24"/>
        </w:rPr>
      </w:pPr>
    </w:p>
    <w:p>
      <w:pPr>
        <w:pStyle w:val="RevisionJuristischerAbsatz"/>
        <w:numPr>
          <w:ilvl w:val="0"/>
          <w:numId w:val="0"/>
        </w:numPr>
        <w:spacing w:before="240"/>
        <w:rPr>
          <w:rFonts w:asciiTheme="minorHAnsi" w:hAnsiTheme="minorHAnsi" w:cstheme="minorHAnsi"/>
          <w:color w:val="auto"/>
          <w:sz w:val="24"/>
          <w:szCs w:val="24"/>
        </w:rPr>
      </w:pPr>
      <w:r>
        <w:rPr>
          <w:rFonts w:asciiTheme="minorHAnsi" w:hAnsiTheme="minorHAnsi" w:cstheme="minorHAnsi"/>
          <w:color w:val="auto"/>
          <w:sz w:val="24"/>
          <w:szCs w:val="24"/>
        </w:rPr>
        <w:t>Hinweis:</w:t>
      </w:r>
    </w:p>
    <w:p>
      <w:pPr>
        <w:pStyle w:val="RevisionJuristischerAbsatz"/>
        <w:numPr>
          <w:ilvl w:val="0"/>
          <w:numId w:val="0"/>
        </w:numPr>
        <w:spacing w:before="0"/>
        <w:rPr>
          <w:rFonts w:asciiTheme="minorHAnsi" w:hAnsiTheme="minorHAnsi" w:cstheme="minorHAnsi"/>
          <w:color w:val="auto"/>
          <w:sz w:val="24"/>
          <w:szCs w:val="24"/>
        </w:rPr>
      </w:pPr>
      <w:r>
        <w:rPr>
          <w:rFonts w:asciiTheme="minorHAnsi" w:hAnsiTheme="minorHAnsi" w:cstheme="minorHAnsi"/>
          <w:color w:val="auto"/>
          <w:sz w:val="24"/>
          <w:szCs w:val="24"/>
        </w:rPr>
        <w:t>Sofern Sie sich in einer der vorgenannten Situationen befinden, können Sie auch Nachweise dafür erbringen, dass Sie ausreichende Maßnahmen getroffen haben, um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der Eigenerklärung der Bewerbung bzw. dem Angebot beizufügen.</w:t>
      </w:r>
    </w:p>
    <w:p>
      <w:pPr>
        <w:pStyle w:val="RevisionJuristischerAbsatz"/>
        <w:numPr>
          <w:ilvl w:val="0"/>
          <w:numId w:val="0"/>
        </w:numPr>
        <w:spacing w:before="0"/>
        <w:rPr>
          <w:rFonts w:asciiTheme="minorHAnsi" w:hAnsiTheme="minorHAnsi" w:cstheme="minorHAnsi"/>
          <w:color w:val="auto"/>
          <w:sz w:val="24"/>
          <w:szCs w:val="24"/>
        </w:rPr>
      </w:pPr>
    </w:p>
    <w:p>
      <w:pPr>
        <w:pStyle w:val="RevisionJuristischerAbsatz"/>
        <w:numPr>
          <w:ilvl w:val="0"/>
          <w:numId w:val="0"/>
        </w:numPr>
        <w:spacing w:before="0"/>
        <w:rPr>
          <w:rFonts w:asciiTheme="minorHAnsi" w:hAnsiTheme="minorHAnsi" w:cstheme="minorHAnsi"/>
          <w:color w:val="auto"/>
          <w:sz w:val="24"/>
          <w:szCs w:val="24"/>
        </w:rPr>
      </w:pPr>
    </w:p>
    <w:p>
      <w:pPr>
        <w:jc w:val="both"/>
        <w:rPr>
          <w:rFonts w:cstheme="minorHAnsi"/>
          <w:b/>
          <w:bCs/>
          <w:sz w:val="24"/>
          <w:szCs w:val="24"/>
        </w:rPr>
      </w:pPr>
      <w:r>
        <w:rPr>
          <w:rFonts w:cstheme="minorHAnsi"/>
          <w:b/>
          <w:bCs/>
          <w:sz w:val="24"/>
          <w:szCs w:val="24"/>
        </w:rPr>
        <w:t xml:space="preserve">Mit der elektronischen Abgabe dieser Eigenerklärung über den Vergabemarktplatz NRW zusammen mit dem Teilnahmeantrag oder dem Angebot gilt diese vom Bewerber bzw. Bieter als unterschrieben. Bei Einreichung via E-Mail (sofern zugelassen!) sowie bei Dritterklärung </w:t>
      </w:r>
      <w:r>
        <w:rPr>
          <w:rFonts w:cstheme="minorHAnsi"/>
          <w:b/>
          <w:sz w:val="24"/>
          <w:szCs w:val="24"/>
        </w:rPr>
        <w:t>(Unterauftragnehmer) besteht die Unterschriftserfordernis.</w:t>
      </w:r>
    </w:p>
    <w:p>
      <w:pPr>
        <w:pStyle w:val="RevisionJuristischerAbsatz"/>
        <w:numPr>
          <w:ilvl w:val="0"/>
          <w:numId w:val="0"/>
        </w:numPr>
        <w:spacing w:before="0"/>
        <w:rPr>
          <w:rFonts w:asciiTheme="minorHAnsi" w:hAnsiTheme="minorHAnsi" w:cstheme="minorHAnsi"/>
          <w:color w:val="auto"/>
          <w:sz w:val="24"/>
          <w:szCs w:val="24"/>
        </w:rPr>
      </w:pP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tbl>
      <w:tblPr>
        <w:tblStyle w:val="Tabellenraster"/>
        <w:tblW w:w="0" w:type="auto"/>
        <w:tblInd w:w="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0"/>
        <w:gridCol w:w="4140"/>
      </w:tblGrid>
      <w:tr>
        <w:trPr>
          <w:trHeight w:val="357"/>
        </w:trPr>
        <w:tc>
          <w:tcPr>
            <w:tcW w:w="3780" w:type="dxa"/>
          </w:tcPr>
          <w:p>
            <w:pPr>
              <w:tabs>
                <w:tab w:val="left" w:pos="1465"/>
              </w:tabs>
              <w:rPr>
                <w:rFonts w:cstheme="minorHAnsi"/>
                <w:b/>
                <w:sz w:val="24"/>
                <w:szCs w:val="2"/>
              </w:rPr>
            </w:pPr>
            <w:r>
              <w:rPr>
                <w:rFonts w:cstheme="minorHAnsi"/>
                <w:b/>
                <w:sz w:val="24"/>
                <w:szCs w:val="2"/>
              </w:rPr>
              <w:t>Ort, Datum</w:t>
            </w:r>
          </w:p>
        </w:tc>
        <w:tc>
          <w:tcPr>
            <w:tcW w:w="720" w:type="dxa"/>
            <w:tcBorders>
              <w:top w:val="nil"/>
            </w:tcBorders>
          </w:tcPr>
          <w:p>
            <w:pPr>
              <w:tabs>
                <w:tab w:val="left" w:pos="1465"/>
              </w:tabs>
              <w:rPr>
                <w:rFonts w:cstheme="minorHAnsi"/>
                <w:b/>
                <w:sz w:val="24"/>
                <w:szCs w:val="2"/>
              </w:rPr>
            </w:pPr>
          </w:p>
        </w:tc>
        <w:tc>
          <w:tcPr>
            <w:tcW w:w="4140" w:type="dxa"/>
          </w:tcPr>
          <w:p>
            <w:pPr>
              <w:tabs>
                <w:tab w:val="left" w:pos="1465"/>
              </w:tabs>
              <w:rPr>
                <w:rFonts w:cstheme="minorHAnsi"/>
                <w:b/>
                <w:sz w:val="24"/>
                <w:szCs w:val="2"/>
              </w:rPr>
            </w:pPr>
            <w:r>
              <w:rPr>
                <w:rFonts w:cstheme="minorHAnsi"/>
                <w:b/>
                <w:sz w:val="24"/>
                <w:szCs w:val="2"/>
              </w:rPr>
              <w:t>Firmenname und Unterschrift</w:t>
            </w:r>
          </w:p>
        </w:tc>
      </w:tr>
    </w:tbl>
    <w:p>
      <w:pPr>
        <w:tabs>
          <w:tab w:val="left" w:pos="1465"/>
        </w:tabs>
        <w:rPr>
          <w:rFonts w:cstheme="minorHAnsi"/>
          <w:sz w:val="2"/>
          <w:szCs w:val="2"/>
        </w:rPr>
      </w:pPr>
    </w:p>
    <w:p>
      <w:pPr>
        <w:pStyle w:val="RevisionJuristischerAbsatz"/>
        <w:numPr>
          <w:ilvl w:val="0"/>
          <w:numId w:val="0"/>
        </w:numPr>
        <w:spacing w:before="0"/>
        <w:rPr>
          <w:rFonts w:asciiTheme="minorHAnsi" w:hAnsiTheme="minorHAnsi" w:cstheme="minorHAnsi"/>
          <w:color w:val="auto"/>
          <w:sz w:val="24"/>
          <w:szCs w:val="24"/>
        </w:rPr>
      </w:pPr>
    </w:p>
    <w:sectPr>
      <w:headerReference w:type="default" r:id="rId8"/>
      <w:footerReference w:type="default" r:id="rId9"/>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Kopfzeile"/>
      <w:spacing w:after="160" w:line="259" w:lineRule="auto"/>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4</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5</w:t>
        </w:r>
        <w:r>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jc w:val="both"/>
      </w:pPr>
      <w:r>
        <w:rPr>
          <w:rStyle w:val="Funotenzeichen"/>
        </w:rPr>
        <w:footnoteRef/>
      </w:r>
      <w: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pPr>
        <w:pStyle w:val="Funotentext"/>
        <w:jc w:val="both"/>
      </w:pPr>
      <w:r>
        <w:rPr>
          <w:rStyle w:val="Funotenzeichen"/>
        </w:rPr>
        <w:footnoteRef/>
      </w:r>
      <w:r>
        <w:t xml:space="preserve"> Einer Verurteilung oder der Festsetzung einer Geldbuße stehen eine Verurteilung oder die Festsetzung einer Geldbuße nach den vergleichbaren Vorschriften anderer Staaten gleich.</w:t>
      </w:r>
    </w:p>
  </w:footnote>
  <w:footnote w:id="3">
    <w:p>
      <w:pPr>
        <w:pStyle w:val="Funotentext"/>
        <w:jc w:val="both"/>
      </w:pPr>
      <w:r>
        <w:footnoteRef/>
      </w:r>
      <w:r>
        <w:t xml:space="preserve"> siehe Fußnoten 1 und 2.</w:t>
      </w:r>
    </w:p>
  </w:footnote>
  <w:footnote w:id="4">
    <w:p>
      <w:pPr>
        <w:pStyle w:val="Funotentext"/>
        <w:jc w:val="both"/>
      </w:pPr>
      <w: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59264"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6" name="Grafik 6"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rPr>
        <w:rFonts w:ascii="Calibri" w:hAnsi="Calibri" w:cs="Calibri"/>
        <w:b/>
        <w:color w:val="244061"/>
        <w:sz w:val="26"/>
        <w:szCs w:val="26"/>
      </w:rPr>
    </w:pPr>
    <w:r>
      <w:rPr>
        <w:rFonts w:ascii="Calibri" w:hAnsi="Calibri" w:cs="Calibri"/>
        <w:b/>
        <w:color w:val="244061"/>
        <w:sz w:val="26"/>
        <w:szCs w:val="26"/>
      </w:rPr>
      <w:t>60-2025-34 – Tragwerksplanung: Sanierung des denkmalgeschützten Ratssaals in C-R</w:t>
    </w:r>
  </w:p>
  <w:p>
    <w:pPr>
      <w:pStyle w:val="Kopfzeile"/>
      <w:tabs>
        <w:tab w:val="left" w:pos="5103"/>
      </w:tabs>
      <w:rPr>
        <w:rFonts w:ascii="Calibri" w:hAnsi="Calibri" w:cs="Calibri"/>
        <w:b/>
        <w:color w:val="244061"/>
        <w:sz w:val="26"/>
        <w:szCs w:val="26"/>
      </w:rPr>
    </w:pPr>
    <w:r>
      <w:t xml:space="preserve"> </w:t>
    </w:r>
    <w:r>
      <w:rPr>
        <w:rFonts w:ascii="Calibri" w:hAnsi="Calibri" w:cs="Calibri"/>
        <w:b/>
        <w:color w:val="244061"/>
        <w:sz w:val="26"/>
        <w:szCs w:val="26"/>
      </w:rPr>
      <w:t>Eigenerklärung zum Nichtvorliegen von Ausschlussgründen</w:t>
    </w:r>
  </w:p>
  <w:p>
    <w:pPr>
      <w:pStyle w:val="Kopfzeile"/>
      <w:tabs>
        <w:tab w:val="clear" w:pos="4536"/>
        <w:tab w:val="left" w:pos="5103"/>
      </w:tabs>
      <w:spacing w:after="160" w:line="259" w:lineRule="auto"/>
      <w:rPr>
        <w:color w:val="000000" w:themeColor="text1"/>
        <w:sz w:val="24"/>
        <w:szCs w:val="24"/>
      </w:rPr>
    </w:pPr>
    <w:r>
      <w:rPr>
        <w:rFonts w:ascii="Calibri" w:hAnsi="Calibri" w:cs="Calibri"/>
        <w:color w:val="000000" w:themeColor="text1"/>
        <w:sz w:val="24"/>
        <w:szCs w:val="24"/>
      </w:rPr>
      <w:t>(Zutreffendes bitte ankreuzen)</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933"/>
    <w:multiLevelType w:val="hybridMultilevel"/>
    <w:tmpl w:val="8904F352"/>
    <w:lvl w:ilvl="0" w:tplc="4F562008">
      <w:start w:val="1"/>
      <w:numFmt w:val="decimal"/>
      <w:lvlText w:val="%1."/>
      <w:lvlJc w:val="left"/>
      <w:pPr>
        <w:ind w:left="454" w:hanging="454"/>
      </w:pPr>
      <w:rPr>
        <w:rFonts w:hint="default"/>
      </w:rPr>
    </w:lvl>
    <w:lvl w:ilvl="1" w:tplc="010ED958">
      <w:start w:val="1"/>
      <w:numFmt w:val="bullet"/>
      <w:lvlText w:val=""/>
      <w:lvlJc w:val="left"/>
      <w:pPr>
        <w:ind w:left="1021" w:hanging="567"/>
      </w:pPr>
      <w:rPr>
        <w:rFonts w:ascii="Symbol" w:hAnsi="Symbol" w:hint="default"/>
      </w:rPr>
    </w:lvl>
    <w:lvl w:ilvl="2" w:tplc="62DE4014">
      <w:start w:val="1"/>
      <w:numFmt w:val="bullet"/>
      <w:lvlText w:val="-"/>
      <w:lvlJc w:val="left"/>
      <w:pPr>
        <w:ind w:left="1588" w:hanging="454"/>
      </w:pPr>
      <w:rPr>
        <w:rFonts w:ascii="Courier New" w:hAnsi="Courier New" w:hint="default"/>
      </w:rPr>
    </w:lvl>
    <w:lvl w:ilvl="3" w:tplc="2E4A268E">
      <w:start w:val="1"/>
      <w:numFmt w:val="decimal"/>
      <w:lvlText w:val="%4"/>
      <w:lvlJc w:val="left"/>
      <w:pPr>
        <w:ind w:left="288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733446"/>
    <w:multiLevelType w:val="hybridMultilevel"/>
    <w:tmpl w:val="726E482A"/>
    <w:lvl w:ilvl="0" w:tplc="0407000F">
      <w:start w:val="1"/>
      <w:numFmt w:val="decimal"/>
      <w:lvlText w:val="%1."/>
      <w:lvlJc w:val="left"/>
      <w:pPr>
        <w:ind w:left="720" w:hanging="360"/>
      </w:pPr>
      <w:rPr>
        <w:rFonts w:hint="default"/>
      </w:rPr>
    </w:lvl>
    <w:lvl w:ilvl="1" w:tplc="053E7BF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3" w15:restartNumberingAfterBreak="0">
    <w:nsid w:val="1ED92FC3"/>
    <w:multiLevelType w:val="hybridMultilevel"/>
    <w:tmpl w:val="F24AC8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AE1687"/>
    <w:multiLevelType w:val="hybridMultilevel"/>
    <w:tmpl w:val="D40454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9FA7361"/>
    <w:multiLevelType w:val="hybridMultilevel"/>
    <w:tmpl w:val="D242D236"/>
    <w:lvl w:ilvl="0" w:tplc="4C84D368">
      <w:start w:val="10"/>
      <w:numFmt w:val="bullet"/>
      <w:lvlText w:val="-"/>
      <w:lvlJc w:val="left"/>
      <w:pPr>
        <w:ind w:left="814" w:hanging="360"/>
      </w:pPr>
      <w:rPr>
        <w:rFonts w:ascii="Calibri" w:eastAsiaTheme="minorHAnsi" w:hAnsi="Calibri" w:cs="Calibri"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7" w15:restartNumberingAfterBreak="0">
    <w:nsid w:val="42515EB5"/>
    <w:multiLevelType w:val="hybridMultilevel"/>
    <w:tmpl w:val="794826AE"/>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9343EA"/>
    <w:multiLevelType w:val="hybridMultilevel"/>
    <w:tmpl w:val="9934F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49093E"/>
    <w:multiLevelType w:val="hybridMultilevel"/>
    <w:tmpl w:val="70C46C12"/>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8D01F2"/>
    <w:multiLevelType w:val="hybridMultilevel"/>
    <w:tmpl w:val="A40AB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962A3A"/>
    <w:multiLevelType w:val="hybridMultilevel"/>
    <w:tmpl w:val="4C469B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F80E67"/>
    <w:multiLevelType w:val="hybridMultilevel"/>
    <w:tmpl w:val="6CBE4A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D77249"/>
    <w:multiLevelType w:val="hybridMultilevel"/>
    <w:tmpl w:val="97365D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B63416F"/>
    <w:multiLevelType w:val="hybridMultilevel"/>
    <w:tmpl w:val="0A1E96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3865304"/>
    <w:multiLevelType w:val="hybridMultilevel"/>
    <w:tmpl w:val="F93636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D5B0C44"/>
    <w:multiLevelType w:val="hybridMultilevel"/>
    <w:tmpl w:val="90A6CA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75E9392E"/>
    <w:multiLevelType w:val="hybridMultilevel"/>
    <w:tmpl w:val="C71C12BC"/>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3F1CF2"/>
    <w:multiLevelType w:val="hybridMultilevel"/>
    <w:tmpl w:val="4450321C"/>
    <w:lvl w:ilvl="0" w:tplc="2FD8DAD4">
      <w:start w:val="1"/>
      <w:numFmt w:val="bullet"/>
      <w:lvlText w:val=""/>
      <w:lvlJc w:val="left"/>
      <w:pPr>
        <w:ind w:left="567" w:hanging="567"/>
      </w:pPr>
      <w:rPr>
        <w:rFonts w:ascii="Symbol" w:hAnsi="Symbol" w:hint="default"/>
      </w:rPr>
    </w:lvl>
    <w:lvl w:ilvl="1" w:tplc="62DE4014">
      <w:start w:val="1"/>
      <w:numFmt w:val="bullet"/>
      <w:lvlText w:val="-"/>
      <w:lvlJc w:val="left"/>
      <w:pPr>
        <w:ind w:left="567" w:hanging="567"/>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9"/>
  </w:num>
  <w:num w:numId="4">
    <w:abstractNumId w:val="20"/>
  </w:num>
  <w:num w:numId="5">
    <w:abstractNumId w:val="14"/>
  </w:num>
  <w:num w:numId="6">
    <w:abstractNumId w:val="17"/>
  </w:num>
  <w:num w:numId="7">
    <w:abstractNumId w:val="18"/>
  </w:num>
  <w:num w:numId="8">
    <w:abstractNumId w:val="13"/>
  </w:num>
  <w:num w:numId="9">
    <w:abstractNumId w:val="11"/>
  </w:num>
  <w:num w:numId="10">
    <w:abstractNumId w:val="0"/>
  </w:num>
  <w:num w:numId="11">
    <w:abstractNumId w:val="10"/>
  </w:num>
  <w:num w:numId="12">
    <w:abstractNumId w:val="16"/>
  </w:num>
  <w:num w:numId="13">
    <w:abstractNumId w:val="4"/>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
  </w:num>
  <w:num w:numId="19">
    <w:abstractNumId w:val="6"/>
  </w:num>
  <w:num w:numId="20">
    <w:abstractNumId w:val="13"/>
    <w:lvlOverride w:ilvl="0">
      <w:startOverride w:val="1"/>
    </w:lvlOverride>
    <w:lvlOverride w:ilvl="1">
      <w:startOverride w:val="1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856ED8BA-2D19-41A0-9969-C8C6D29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4"/>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numPr>
        <w:ilvl w:val="1"/>
        <w:numId w:val="14"/>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iPriority w:val="9"/>
    <w:unhideWhenUsed/>
    <w:qFormat/>
    <w:pPr>
      <w:keepNext/>
      <w:keepLines/>
      <w:numPr>
        <w:ilvl w:val="2"/>
        <w:numId w:val="14"/>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uiPriority w:val="9"/>
    <w:semiHidden/>
    <w:unhideWhenUsed/>
    <w:qFormat/>
    <w:pPr>
      <w:keepNext/>
      <w:keepLines/>
      <w:numPr>
        <w:ilvl w:val="3"/>
        <w:numId w:val="14"/>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uiPriority w:val="9"/>
    <w:semiHidden/>
    <w:unhideWhenUsed/>
    <w:qFormat/>
    <w:pPr>
      <w:keepNext/>
      <w:keepLines/>
      <w:numPr>
        <w:ilvl w:val="4"/>
        <w:numId w:val="14"/>
      </w:numPr>
      <w:spacing w:before="200" w:after="0" w:line="276" w:lineRule="auto"/>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uiPriority w:val="9"/>
    <w:semiHidden/>
    <w:unhideWhenUsed/>
    <w:qFormat/>
    <w:pPr>
      <w:keepNext/>
      <w:keepLines/>
      <w:numPr>
        <w:ilvl w:val="5"/>
        <w:numId w:val="14"/>
      </w:numPr>
      <w:spacing w:before="200" w:after="0" w:line="276" w:lineRule="auto"/>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uiPriority w:val="9"/>
    <w:semiHidden/>
    <w:unhideWhenUsed/>
    <w:qFormat/>
    <w:pPr>
      <w:keepNext/>
      <w:keepLines/>
      <w:numPr>
        <w:ilvl w:val="6"/>
        <w:numId w:val="14"/>
      </w:numPr>
      <w:spacing w:before="200" w:after="0" w:line="276" w:lineRule="auto"/>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uiPriority w:val="9"/>
    <w:semiHidden/>
    <w:unhideWhenUsed/>
    <w:qFormat/>
    <w:pPr>
      <w:keepNext/>
      <w:keepLines/>
      <w:numPr>
        <w:ilvl w:val="7"/>
        <w:numId w:val="14"/>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4"/>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pPr>
      <w:ind w:left="720"/>
      <w:contextualSpacing/>
    </w:pPr>
  </w:style>
  <w:style w:type="paragraph" w:customStyle="1" w:styleId="RevisionJuristischerAbsatz">
    <w:name w:val="Revision Juristischer Absatz"/>
    <w:basedOn w:val="Standard"/>
    <w:pPr>
      <w:numPr>
        <w:ilvl w:val="2"/>
        <w:numId w:val="8"/>
      </w:num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rd"/>
    <w:pPr>
      <w:numPr>
        <w:ilvl w:val="3"/>
        <w:numId w:val="8"/>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rd"/>
    <w:pPr>
      <w:numPr>
        <w:ilvl w:val="4"/>
        <w:numId w:val="8"/>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rd"/>
    <w:pPr>
      <w:numPr>
        <w:ilvl w:val="5"/>
        <w:numId w:val="8"/>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rd"/>
    <w:pPr>
      <w:numPr>
        <w:ilvl w:val="6"/>
        <w:numId w:val="8"/>
      </w:numPr>
      <w:spacing w:before="120" w:after="120" w:line="240" w:lineRule="auto"/>
      <w:jc w:val="both"/>
    </w:pPr>
    <w:rPr>
      <w:rFonts w:ascii="Arial" w:hAnsi="Arial" w:cs="Arial"/>
      <w:color w:val="800000"/>
    </w:rPr>
  </w:style>
  <w:style w:type="paragraph" w:customStyle="1" w:styleId="RevisionParagraphBezeichner">
    <w:name w:val="Revision Paragraph Bezeichner"/>
    <w:basedOn w:val="Standard"/>
    <w:next w:val="Standard"/>
    <w:pPr>
      <w:keepNext/>
      <w:numPr>
        <w:ilvl w:val="1"/>
        <w:numId w:val="8"/>
      </w:numPr>
      <w:spacing w:before="480" w:after="120" w:line="240" w:lineRule="auto"/>
      <w:jc w:val="center"/>
    </w:pPr>
    <w:rPr>
      <w:rFonts w:ascii="Arial" w:hAnsi="Arial" w:cs="Arial"/>
      <w:color w:val="800000"/>
    </w:rPr>
  </w:style>
  <w:style w:type="paragraph" w:customStyle="1" w:styleId="RevisionArtikelBezeichner">
    <w:name w:val="Revision Artikel Bezeichner"/>
    <w:basedOn w:val="Standard"/>
    <w:next w:val="Standard"/>
    <w:pPr>
      <w:keepNext/>
      <w:numPr>
        <w:numId w:val="8"/>
      </w:numPr>
      <w:spacing w:before="480" w:after="240" w:line="240" w:lineRule="auto"/>
      <w:jc w:val="center"/>
    </w:pPr>
    <w:rPr>
      <w:rFonts w:ascii="Arial" w:hAnsi="Arial" w:cs="Arial"/>
      <w:color w:val="800000"/>
      <w:sz w:val="28"/>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Funotenzeichen">
    <w:name w:val="footnote reference"/>
    <w:basedOn w:val="Absatz-Standardschriftart"/>
    <w:uiPriority w:val="99"/>
    <w:semiHidden/>
    <w:unhideWhenUsed/>
    <w:rPr>
      <w:vertAlign w:val="superscript"/>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Untertitel">
    <w:name w:val="Subtitle"/>
    <w:aliases w:val="Texterläuterungen"/>
    <w:basedOn w:val="Standard"/>
    <w:next w:val="Standard"/>
    <w:link w:val="UntertitelZchn"/>
    <w:uiPriority w:val="11"/>
    <w:qFormat/>
    <w:pPr>
      <w:numPr>
        <w:ilvl w:val="1"/>
      </w:numPr>
      <w:spacing w:before="120" w:after="60" w:line="276" w:lineRule="auto"/>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character" w:styleId="Hyperlink">
    <w:name w:val="Hyperlink"/>
    <w:basedOn w:val="Absatz-Standardschriftart"/>
    <w:uiPriority w:val="99"/>
    <w:unhideWhenUsed/>
    <w:rPr>
      <w:color w:val="0563C1" w:themeColor="hyperlink"/>
      <w:u w:val="single"/>
    </w:rPr>
  </w:style>
  <w:style w:type="table" w:customStyle="1" w:styleId="Tabellenraster1">
    <w:name w:val="Tabellenraster1"/>
    <w:basedOn w:val="NormaleTabelle"/>
    <w:next w:val="Tabellenraster"/>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pPr>
      <w:spacing w:after="0" w:line="240" w:lineRule="auto"/>
    </w:pPr>
    <w:rPr>
      <w:sz w:val="20"/>
      <w:szCs w:val="20"/>
    </w:rPr>
  </w:style>
  <w:style w:type="character" w:customStyle="1" w:styleId="FunotentextZchn">
    <w:name w:val="Fußnotentext Zchn"/>
    <w:basedOn w:val="Absatz-Standardschriftart"/>
    <w:link w:val="Funotentext"/>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668">
      <w:bodyDiv w:val="1"/>
      <w:marLeft w:val="0"/>
      <w:marRight w:val="0"/>
      <w:marTop w:val="0"/>
      <w:marBottom w:val="0"/>
      <w:divBdr>
        <w:top w:val="none" w:sz="0" w:space="0" w:color="auto"/>
        <w:left w:val="none" w:sz="0" w:space="0" w:color="auto"/>
        <w:bottom w:val="none" w:sz="0" w:space="0" w:color="auto"/>
        <w:right w:val="none" w:sz="0" w:space="0" w:color="auto"/>
      </w:divBdr>
    </w:div>
    <w:div w:id="634679907">
      <w:bodyDiv w:val="1"/>
      <w:marLeft w:val="0"/>
      <w:marRight w:val="0"/>
      <w:marTop w:val="0"/>
      <w:marBottom w:val="0"/>
      <w:divBdr>
        <w:top w:val="none" w:sz="0" w:space="0" w:color="auto"/>
        <w:left w:val="none" w:sz="0" w:space="0" w:color="auto"/>
        <w:bottom w:val="none" w:sz="0" w:space="0" w:color="auto"/>
        <w:right w:val="none" w:sz="0" w:space="0" w:color="auto"/>
      </w:divBdr>
    </w:div>
    <w:div w:id="1043483116">
      <w:bodyDiv w:val="1"/>
      <w:marLeft w:val="0"/>
      <w:marRight w:val="0"/>
      <w:marTop w:val="0"/>
      <w:marBottom w:val="0"/>
      <w:divBdr>
        <w:top w:val="none" w:sz="0" w:space="0" w:color="auto"/>
        <w:left w:val="none" w:sz="0" w:space="0" w:color="auto"/>
        <w:bottom w:val="none" w:sz="0" w:space="0" w:color="auto"/>
        <w:right w:val="none" w:sz="0" w:space="0" w:color="auto"/>
      </w:divBdr>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313413199">
      <w:bodyDiv w:val="1"/>
      <w:marLeft w:val="0"/>
      <w:marRight w:val="0"/>
      <w:marTop w:val="0"/>
      <w:marBottom w:val="0"/>
      <w:divBdr>
        <w:top w:val="none" w:sz="0" w:space="0" w:color="auto"/>
        <w:left w:val="none" w:sz="0" w:space="0" w:color="auto"/>
        <w:bottom w:val="none" w:sz="0" w:space="0" w:color="auto"/>
        <w:right w:val="none" w:sz="0" w:space="0" w:color="auto"/>
      </w:divBdr>
    </w:div>
    <w:div w:id="18245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A9E1B-1CE4-4543-A585-D0E0B6D8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791</Words>
  <Characters>4987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Sultan</cp:lastModifiedBy>
  <cp:revision>28</cp:revision>
  <cp:lastPrinted>2018-08-06T12:06:00Z</cp:lastPrinted>
  <dcterms:created xsi:type="dcterms:W3CDTF">2019-06-12T10:37:00Z</dcterms:created>
  <dcterms:modified xsi:type="dcterms:W3CDTF">2025-12-12T09:05:00Z</dcterms:modified>
</cp:coreProperties>
</file>