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Elektroinstallation Berufung Prof. Steiner</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2025_219_KK</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