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29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etriebliche Gesundheitsförderung - Firmenfitness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