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DD9D" w14:textId="77777777" w:rsidR="00AE517A" w:rsidRDefault="00AE517A" w:rsidP="00AE517A">
      <w:pPr>
        <w:widowControl w:val="0"/>
        <w:autoSpaceDE w:val="0"/>
        <w:autoSpaceDN w:val="0"/>
        <w:spacing w:before="76" w:after="0" w:line="240" w:lineRule="auto"/>
        <w:ind w:left="141" w:right="138"/>
        <w:jc w:val="both"/>
        <w:rPr>
          <w:rFonts w:ascii="Arial Narrow" w:eastAsia="Arial Narrow" w:hAnsi="Arial Narrow" w:cs="Arial Narrow"/>
          <w:b/>
          <w:kern w:val="0"/>
          <w14:ligatures w14:val="none"/>
        </w:rPr>
      </w:pP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2026 Architekten – Erweiterungsanbau und umfassende Umbaumaßnahmen im Bestandsgebäude der Städtisches Krankenhaus Maria-Hilf Brilon gGmbH im Rahmen der Einzelförderung gemäß §21a KHGG NRW – Planungsleistungen Architekten, Leistungsphasen</w:t>
      </w:r>
      <w:r w:rsidRPr="00AE517A">
        <w:rPr>
          <w:rFonts w:ascii="Arial Narrow" w:eastAsia="Arial Narrow" w:hAnsi="Arial Narrow" w:cs="Arial Narrow"/>
          <w:b/>
          <w:spacing w:val="-5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1-8,</w:t>
      </w:r>
      <w:r w:rsidRPr="00AE517A">
        <w:rPr>
          <w:rFonts w:ascii="Arial Narrow" w:eastAsia="Arial Narrow" w:hAnsi="Arial Narrow" w:cs="Arial Narrow"/>
          <w:b/>
          <w:spacing w:val="-7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§</w:t>
      </w:r>
      <w:r w:rsidRPr="00AE517A">
        <w:rPr>
          <w:rFonts w:ascii="Arial Narrow" w:eastAsia="Arial Narrow" w:hAnsi="Arial Narrow" w:cs="Arial Narrow"/>
          <w:b/>
          <w:spacing w:val="-5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34</w:t>
      </w:r>
      <w:r w:rsidRPr="00AE517A">
        <w:rPr>
          <w:rFonts w:ascii="Arial Narrow" w:eastAsia="Arial Narrow" w:hAnsi="Arial Narrow" w:cs="Arial Narrow"/>
          <w:b/>
          <w:spacing w:val="-5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HOAI</w:t>
      </w:r>
      <w:r w:rsidRPr="00AE517A">
        <w:rPr>
          <w:rFonts w:ascii="Arial Narrow" w:eastAsia="Arial Narrow" w:hAnsi="Arial Narrow" w:cs="Arial Narrow"/>
          <w:b/>
          <w:spacing w:val="-4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–</w:t>
      </w:r>
      <w:r w:rsidRPr="00AE517A">
        <w:rPr>
          <w:rFonts w:ascii="Arial Narrow" w:eastAsia="Arial Narrow" w:hAnsi="Arial Narrow" w:cs="Arial Narrow"/>
          <w:b/>
          <w:spacing w:val="-5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Verhandlungsverfahren</w:t>
      </w:r>
      <w:r w:rsidRPr="00AE517A">
        <w:rPr>
          <w:rFonts w:ascii="Arial Narrow" w:eastAsia="Arial Narrow" w:hAnsi="Arial Narrow" w:cs="Arial Narrow"/>
          <w:b/>
          <w:spacing w:val="-5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nach</w:t>
      </w:r>
      <w:r w:rsidRPr="00AE517A">
        <w:rPr>
          <w:rFonts w:ascii="Arial Narrow" w:eastAsia="Arial Narrow" w:hAnsi="Arial Narrow" w:cs="Arial Narrow"/>
          <w:b/>
          <w:spacing w:val="-5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öffentlichem</w:t>
      </w:r>
      <w:r w:rsidRPr="00AE517A">
        <w:rPr>
          <w:rFonts w:ascii="Arial Narrow" w:eastAsia="Arial Narrow" w:hAnsi="Arial Narrow" w:cs="Arial Narrow"/>
          <w:b/>
          <w:spacing w:val="-5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Teilnahmewettbewerb,</w:t>
      </w:r>
      <w:r w:rsidRPr="00AE517A">
        <w:rPr>
          <w:rFonts w:ascii="Arial Narrow" w:eastAsia="Arial Narrow" w:hAnsi="Arial Narrow" w:cs="Arial Narrow"/>
          <w:b/>
          <w:spacing w:val="-5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§§</w:t>
      </w:r>
      <w:r w:rsidRPr="00AE517A">
        <w:rPr>
          <w:rFonts w:ascii="Arial Narrow" w:eastAsia="Arial Narrow" w:hAnsi="Arial Narrow" w:cs="Arial Narrow"/>
          <w:b/>
          <w:spacing w:val="-7"/>
          <w:kern w:val="0"/>
          <w14:ligatures w14:val="none"/>
        </w:rPr>
        <w:t xml:space="preserve"> 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17, 74 VgV</w:t>
      </w:r>
    </w:p>
    <w:p w14:paraId="701EAAB4" w14:textId="77777777" w:rsidR="00684408" w:rsidRDefault="00684408" w:rsidP="00AE517A">
      <w:pPr>
        <w:widowControl w:val="0"/>
        <w:autoSpaceDE w:val="0"/>
        <w:autoSpaceDN w:val="0"/>
        <w:spacing w:before="76" w:after="0" w:line="240" w:lineRule="auto"/>
        <w:ind w:left="141" w:right="138"/>
        <w:jc w:val="both"/>
        <w:rPr>
          <w:rFonts w:ascii="Arial Narrow" w:eastAsia="Arial Narrow" w:hAnsi="Arial Narrow" w:cs="Arial Narrow"/>
          <w:b/>
          <w:kern w:val="0"/>
          <w14:ligatures w14:val="none"/>
        </w:rPr>
      </w:pPr>
    </w:p>
    <w:p w14:paraId="68D0037E" w14:textId="09AA13DF" w:rsidR="00684408" w:rsidRDefault="00684408" w:rsidP="00684408">
      <w:pPr>
        <w:widowControl w:val="0"/>
        <w:autoSpaceDE w:val="0"/>
        <w:autoSpaceDN w:val="0"/>
        <w:spacing w:before="76" w:after="0" w:line="240" w:lineRule="auto"/>
        <w:ind w:left="141" w:right="138"/>
        <w:jc w:val="center"/>
        <w:rPr>
          <w:rFonts w:ascii="Arial Narrow" w:eastAsia="Arial Narrow" w:hAnsi="Arial Narrow" w:cs="Arial Narrow"/>
          <w:b/>
          <w:kern w:val="0"/>
          <w14:ligatures w14:val="none"/>
        </w:rPr>
      </w:pPr>
      <w:r>
        <w:rPr>
          <w:rFonts w:ascii="Arial Narrow" w:eastAsia="Arial Narrow" w:hAnsi="Arial Narrow" w:cs="Arial Narrow"/>
          <w:b/>
          <w:kern w:val="0"/>
          <w14:ligatures w14:val="none"/>
        </w:rPr>
        <w:t>Los 1</w:t>
      </w:r>
    </w:p>
    <w:p w14:paraId="1D470958" w14:textId="77777777" w:rsidR="00AE517A" w:rsidRDefault="00AE517A" w:rsidP="00AE517A">
      <w:pPr>
        <w:widowControl w:val="0"/>
        <w:autoSpaceDE w:val="0"/>
        <w:autoSpaceDN w:val="0"/>
        <w:spacing w:before="76" w:after="0" w:line="240" w:lineRule="auto"/>
        <w:ind w:left="141" w:right="138"/>
        <w:jc w:val="both"/>
        <w:rPr>
          <w:rFonts w:ascii="Arial Narrow" w:eastAsia="Arial Narrow" w:hAnsi="Arial Narrow" w:cs="Arial Narrow"/>
          <w:b/>
          <w:kern w:val="0"/>
          <w14:ligatures w14:val="none"/>
        </w:rPr>
      </w:pPr>
    </w:p>
    <w:p w14:paraId="47ABACF2" w14:textId="77777777" w:rsidR="00AE517A" w:rsidRPr="00AE517A" w:rsidRDefault="00AE517A" w:rsidP="00CB76DF">
      <w:pPr>
        <w:widowControl w:val="0"/>
        <w:autoSpaceDE w:val="0"/>
        <w:autoSpaceDN w:val="0"/>
        <w:spacing w:before="76" w:after="0" w:line="240" w:lineRule="auto"/>
        <w:ind w:left="141" w:right="138"/>
        <w:jc w:val="center"/>
        <w:rPr>
          <w:rFonts w:ascii="Arial Narrow" w:eastAsia="Arial Narrow" w:hAnsi="Arial Narrow" w:cs="Arial Narrow"/>
          <w:b/>
          <w:kern w:val="0"/>
          <w:u w:val="single"/>
          <w14:ligatures w14:val="none"/>
        </w:rPr>
      </w:pPr>
      <w:r w:rsidRPr="00AE517A">
        <w:rPr>
          <w:rFonts w:ascii="Arial Narrow" w:eastAsia="Arial Narrow" w:hAnsi="Arial Narrow" w:cs="Arial Narrow"/>
          <w:b/>
          <w:kern w:val="0"/>
          <w:u w:val="single"/>
          <w14:ligatures w14:val="none"/>
        </w:rPr>
        <w:t>Bewertungsmatrix zur Auswahl der Teilnehmer Architekten</w:t>
      </w:r>
    </w:p>
    <w:p w14:paraId="2016981B" w14:textId="77777777" w:rsidR="00AE517A" w:rsidRPr="00AE517A" w:rsidRDefault="00AE517A" w:rsidP="00CB76DF">
      <w:pPr>
        <w:widowControl w:val="0"/>
        <w:autoSpaceDE w:val="0"/>
        <w:autoSpaceDN w:val="0"/>
        <w:spacing w:before="76" w:after="0" w:line="240" w:lineRule="auto"/>
        <w:ind w:left="141" w:right="138"/>
        <w:jc w:val="both"/>
        <w:rPr>
          <w:rFonts w:ascii="Arial Narrow" w:eastAsia="Arial Narrow" w:hAnsi="Arial Narrow" w:cs="Arial Narrow"/>
          <w:b/>
          <w:kern w:val="0"/>
          <w14:ligatures w14:val="none"/>
        </w:rPr>
      </w:pPr>
    </w:p>
    <w:p w14:paraId="1DD615A2" w14:textId="77777777" w:rsidR="00AE517A" w:rsidRPr="00AE517A" w:rsidRDefault="00AE517A" w:rsidP="00CB76DF">
      <w:pPr>
        <w:widowControl w:val="0"/>
        <w:autoSpaceDE w:val="0"/>
        <w:autoSpaceDN w:val="0"/>
        <w:spacing w:before="76" w:after="0" w:line="240" w:lineRule="auto"/>
        <w:ind w:left="141" w:right="138"/>
        <w:jc w:val="both"/>
        <w:rPr>
          <w:rFonts w:ascii="Arial Narrow" w:eastAsia="Arial Narrow" w:hAnsi="Arial Narrow" w:cs="Arial Narrow"/>
          <w:b/>
          <w:kern w:val="0"/>
          <w14:ligatures w14:val="none"/>
        </w:rPr>
      </w:pPr>
    </w:p>
    <w:p w14:paraId="3908A8D1" w14:textId="77777777" w:rsidR="00AE517A" w:rsidRPr="00AE517A" w:rsidRDefault="00AE517A" w:rsidP="00CB76DF">
      <w:pPr>
        <w:widowControl w:val="0"/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/>
          <w:kern w:val="0"/>
          <w14:ligatures w14:val="none"/>
        </w:rPr>
      </w:pP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1.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ab/>
        <w:t>Auswahl-Kriterium (zwingend)</w:t>
      </w:r>
    </w:p>
    <w:p w14:paraId="1C411FE9" w14:textId="77777777" w:rsidR="00AE517A" w:rsidRPr="00AE517A" w:rsidRDefault="00AE517A" w:rsidP="00CB76DF">
      <w:pPr>
        <w:widowControl w:val="0"/>
        <w:autoSpaceDE w:val="0"/>
        <w:autoSpaceDN w:val="0"/>
        <w:spacing w:before="76" w:after="0" w:line="240" w:lineRule="auto"/>
        <w:ind w:left="141" w:right="138"/>
        <w:jc w:val="both"/>
        <w:rPr>
          <w:rFonts w:ascii="Arial Narrow" w:eastAsia="Arial Narrow" w:hAnsi="Arial Narrow" w:cs="Arial Narrow"/>
          <w:b/>
          <w:kern w:val="0"/>
          <w14:ligatures w14:val="none"/>
        </w:rPr>
      </w:pPr>
    </w:p>
    <w:p w14:paraId="0971FA26" w14:textId="77777777" w:rsidR="00AE517A" w:rsidRPr="00AE517A" w:rsidRDefault="00AE517A" w:rsidP="00CB76DF">
      <w:pPr>
        <w:widowControl w:val="0"/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  <w:r w:rsidRPr="00AE517A">
        <w:rPr>
          <w:rFonts w:ascii="Arial Narrow" w:eastAsia="Arial Narrow" w:hAnsi="Arial Narrow" w:cs="Arial Narrow"/>
          <w:bCs/>
          <w:kern w:val="0"/>
          <w14:ligatures w14:val="none"/>
        </w:rPr>
        <w:t>Mindest-Bruttoumsatz des Büros im Bereich Objektplanung in den letzten drei Jahren im Mittel ≥ 2.000.000 €. Das Nichterreichen dieses Kriteriums führt zum Ausschluss des Teilnahmeantrags.</w:t>
      </w:r>
    </w:p>
    <w:p w14:paraId="749648BC" w14:textId="77777777" w:rsidR="00AE517A" w:rsidRPr="00AE517A" w:rsidRDefault="00AE517A" w:rsidP="00CB76DF">
      <w:pPr>
        <w:widowControl w:val="0"/>
        <w:autoSpaceDE w:val="0"/>
        <w:autoSpaceDN w:val="0"/>
        <w:spacing w:before="76" w:after="0" w:line="240" w:lineRule="auto"/>
        <w:ind w:left="141"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</w:p>
    <w:p w14:paraId="447158B2" w14:textId="77777777" w:rsidR="00AE517A" w:rsidRPr="00AE517A" w:rsidRDefault="00AE517A" w:rsidP="00CB76DF">
      <w:pPr>
        <w:widowControl w:val="0"/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  <w:r w:rsidRPr="00AE517A">
        <w:rPr>
          <w:rFonts w:ascii="Arial Narrow" w:eastAsia="Arial Narrow" w:hAnsi="Arial Narrow" w:cs="Arial Narrow"/>
          <w:bCs/>
          <w:kern w:val="0"/>
          <w14:ligatures w14:val="none"/>
        </w:rPr>
        <w:t>Es sind mindestens 3 Referenzen mit den nachstehenden in a. bis c. genannten Mindestanforderungen vorzulegen. Die Vorlage von weniger als 3 Referenzen, die die Anforderungen nach a. bis c. erfüllen, führt zum Ausschluss des Teilnahmeantrages.</w:t>
      </w:r>
    </w:p>
    <w:p w14:paraId="02DFD75A" w14:textId="5AFF24B1" w:rsidR="00AE517A" w:rsidRPr="00AE517A" w:rsidRDefault="00AE517A" w:rsidP="00CB76DF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  <w:r w:rsidRPr="00AE517A">
        <w:rPr>
          <w:rFonts w:ascii="Arial Narrow" w:eastAsia="Arial Narrow" w:hAnsi="Arial Narrow" w:cs="Arial Narrow"/>
          <w:bCs/>
          <w:kern w:val="0"/>
          <w14:ligatures w14:val="none"/>
        </w:rPr>
        <w:t>Abgeschlossen in den letzten 10 Jahren (2015 bis 2025)</w:t>
      </w:r>
    </w:p>
    <w:p w14:paraId="60553810" w14:textId="1A14173D" w:rsidR="00AE517A" w:rsidRPr="00AE517A" w:rsidRDefault="00AE517A" w:rsidP="00CB76DF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  <w:r w:rsidRPr="00AE517A">
        <w:rPr>
          <w:rFonts w:ascii="Arial Narrow" w:eastAsia="Arial Narrow" w:hAnsi="Arial Narrow" w:cs="Arial Narrow"/>
          <w:bCs/>
          <w:kern w:val="0"/>
          <w14:ligatures w14:val="none"/>
        </w:rPr>
        <w:t>Mindestens Honorarzone III</w:t>
      </w:r>
    </w:p>
    <w:p w14:paraId="70FE6AF2" w14:textId="533C8242" w:rsidR="00AE517A" w:rsidRDefault="00AE517A" w:rsidP="00CB76DF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  <w:r w:rsidRPr="00AE517A">
        <w:rPr>
          <w:rFonts w:ascii="Arial Narrow" w:eastAsia="Arial Narrow" w:hAnsi="Arial Narrow" w:cs="Arial Narrow"/>
          <w:bCs/>
          <w:kern w:val="0"/>
          <w14:ligatures w14:val="none"/>
        </w:rPr>
        <w:t>Ausführung der Leistungsphasen 1-8, § 34 HOAI</w:t>
      </w:r>
    </w:p>
    <w:p w14:paraId="54B35D61" w14:textId="77777777" w:rsidR="00AE517A" w:rsidRDefault="00AE517A" w:rsidP="00AE517A">
      <w:pPr>
        <w:widowControl w:val="0"/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</w:p>
    <w:p w14:paraId="13F15E1B" w14:textId="470861BB" w:rsidR="00AE517A" w:rsidRDefault="00AE517A" w:rsidP="00AE517A">
      <w:pPr>
        <w:widowControl w:val="0"/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>2.</w:t>
      </w:r>
      <w:r w:rsidRPr="00AE517A">
        <w:rPr>
          <w:rFonts w:ascii="Arial Narrow" w:eastAsia="Arial Narrow" w:hAnsi="Arial Narrow" w:cs="Arial Narrow"/>
          <w:b/>
          <w:kern w:val="0"/>
          <w14:ligatures w14:val="none"/>
        </w:rPr>
        <w:tab/>
        <w:t>Die Referenzen werden nach folgenden Kriterien bewertet</w:t>
      </w:r>
      <w:r w:rsidRPr="00AE517A">
        <w:rPr>
          <w:rFonts w:ascii="Arial Narrow" w:eastAsia="Arial Narrow" w:hAnsi="Arial Narrow" w:cs="Arial Narrow"/>
          <w:bCs/>
          <w:kern w:val="0"/>
          <w14:ligatures w14:val="none"/>
        </w:rPr>
        <w:t>:</w:t>
      </w:r>
    </w:p>
    <w:p w14:paraId="65C2A7AD" w14:textId="77777777" w:rsidR="00AE517A" w:rsidRDefault="00AE517A" w:rsidP="00AE517A">
      <w:pPr>
        <w:widowControl w:val="0"/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</w:p>
    <w:tbl>
      <w:tblPr>
        <w:tblStyle w:val="Tabellenraster1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5954"/>
        <w:gridCol w:w="1270"/>
      </w:tblGrid>
      <w:tr w:rsidR="00AE517A" w:rsidRPr="00270905" w14:paraId="0E7A9488" w14:textId="77777777" w:rsidTr="00397F47">
        <w:tc>
          <w:tcPr>
            <w:tcW w:w="1134" w:type="dxa"/>
          </w:tcPr>
          <w:p w14:paraId="0AD0A5FF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  <w:bookmarkStart w:id="0" w:name="_Hlk219964996"/>
            <w:r w:rsidRPr="00270905">
              <w:rPr>
                <w:rFonts w:ascii="Arial Narrow" w:eastAsia="Arial Narrow" w:hAnsi="Arial Narrow" w:cs="Arial Narrow"/>
                <w:b/>
              </w:rPr>
              <w:t>Nr.</w:t>
            </w:r>
          </w:p>
        </w:tc>
        <w:tc>
          <w:tcPr>
            <w:tcW w:w="5954" w:type="dxa"/>
          </w:tcPr>
          <w:p w14:paraId="017CEDB3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  <w:r w:rsidRPr="00270905">
              <w:rPr>
                <w:rFonts w:ascii="Arial Narrow" w:eastAsia="Arial Narrow" w:hAnsi="Arial Narrow" w:cs="Arial Narrow"/>
                <w:b/>
              </w:rPr>
              <w:t>Kriterium</w:t>
            </w:r>
          </w:p>
        </w:tc>
        <w:tc>
          <w:tcPr>
            <w:tcW w:w="1270" w:type="dxa"/>
          </w:tcPr>
          <w:p w14:paraId="30B79923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  <w:r w:rsidRPr="00270905">
              <w:rPr>
                <w:rFonts w:ascii="Arial Narrow" w:eastAsia="Arial Narrow" w:hAnsi="Arial Narrow" w:cs="Arial Narrow"/>
                <w:b/>
              </w:rPr>
              <w:t>Punktzahl</w:t>
            </w:r>
          </w:p>
        </w:tc>
      </w:tr>
      <w:tr w:rsidR="00AE517A" w:rsidRPr="00270905" w14:paraId="2B793B82" w14:textId="77777777" w:rsidTr="00397F47">
        <w:tc>
          <w:tcPr>
            <w:tcW w:w="1134" w:type="dxa"/>
          </w:tcPr>
          <w:p w14:paraId="0FA0E8F5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a.</w:t>
            </w:r>
          </w:p>
        </w:tc>
        <w:tc>
          <w:tcPr>
            <w:tcW w:w="5954" w:type="dxa"/>
          </w:tcPr>
          <w:p w14:paraId="2B15BC09" w14:textId="2DC230E3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AE517A">
              <w:rPr>
                <w:rFonts w:ascii="Arial Narrow" w:eastAsia="Arial Narrow" w:hAnsi="Arial Narrow" w:cs="Arial Narrow"/>
                <w:bCs/>
              </w:rPr>
              <w:t>Eine Referenz betrifft den Bau / Umbau eines Krankenhauses mit Baukosten für die Kostengruppen 300+400 &gt; 15 Mio. Euro (brutto)</w:t>
            </w:r>
          </w:p>
        </w:tc>
        <w:tc>
          <w:tcPr>
            <w:tcW w:w="1270" w:type="dxa"/>
          </w:tcPr>
          <w:p w14:paraId="7BDB69DD" w14:textId="77777777" w:rsidR="00AE517A" w:rsidRPr="00270905" w:rsidRDefault="00AE517A" w:rsidP="00397F47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30</w:t>
            </w:r>
          </w:p>
        </w:tc>
      </w:tr>
      <w:tr w:rsidR="00AE517A" w:rsidRPr="00270905" w14:paraId="51A49241" w14:textId="77777777" w:rsidTr="00397F47">
        <w:tc>
          <w:tcPr>
            <w:tcW w:w="1134" w:type="dxa"/>
          </w:tcPr>
          <w:p w14:paraId="64ECC1F7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b.</w:t>
            </w:r>
          </w:p>
        </w:tc>
        <w:tc>
          <w:tcPr>
            <w:tcW w:w="5954" w:type="dxa"/>
          </w:tcPr>
          <w:p w14:paraId="69DA1577" w14:textId="64924270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AE517A">
              <w:rPr>
                <w:rFonts w:ascii="Arial Narrow" w:eastAsia="Arial Narrow" w:hAnsi="Arial Narrow" w:cs="Arial Narrow"/>
                <w:bCs/>
              </w:rPr>
              <w:t xml:space="preserve">Eine Referenz betrifft den Bau / Umbau </w:t>
            </w:r>
            <w:r>
              <w:rPr>
                <w:rFonts w:ascii="Arial Narrow" w:eastAsia="Arial Narrow" w:hAnsi="Arial Narrow" w:cs="Arial Narrow"/>
                <w:bCs/>
              </w:rPr>
              <w:t>einer</w:t>
            </w:r>
            <w:r w:rsidRPr="00AE517A">
              <w:rPr>
                <w:rFonts w:ascii="Arial Narrow" w:eastAsia="Arial Narrow" w:hAnsi="Arial Narrow" w:cs="Arial Narrow"/>
                <w:bCs/>
              </w:rPr>
              <w:t xml:space="preserve"> Intensivstation</w:t>
            </w:r>
          </w:p>
        </w:tc>
        <w:tc>
          <w:tcPr>
            <w:tcW w:w="1270" w:type="dxa"/>
          </w:tcPr>
          <w:p w14:paraId="6E767648" w14:textId="77777777" w:rsidR="00AE517A" w:rsidRPr="00270905" w:rsidRDefault="00AE517A" w:rsidP="00397F47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AE517A" w:rsidRPr="00270905" w14:paraId="3DA697F4" w14:textId="77777777" w:rsidTr="00397F47">
        <w:tc>
          <w:tcPr>
            <w:tcW w:w="1134" w:type="dxa"/>
          </w:tcPr>
          <w:p w14:paraId="318BA93F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c.</w:t>
            </w:r>
          </w:p>
        </w:tc>
        <w:tc>
          <w:tcPr>
            <w:tcW w:w="5954" w:type="dxa"/>
          </w:tcPr>
          <w:p w14:paraId="55E8A35D" w14:textId="7D8A4A25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AE517A">
              <w:rPr>
                <w:rFonts w:ascii="Arial Narrow" w:eastAsia="Arial Narrow" w:hAnsi="Arial Narrow" w:cs="Arial Narrow"/>
                <w:bCs/>
              </w:rPr>
              <w:t>Eine Referenz betrifft den Bau / Umbau eines OP-Bereiches</w:t>
            </w:r>
          </w:p>
        </w:tc>
        <w:tc>
          <w:tcPr>
            <w:tcW w:w="1270" w:type="dxa"/>
          </w:tcPr>
          <w:p w14:paraId="58CFF994" w14:textId="77777777" w:rsidR="00AE517A" w:rsidRPr="00270905" w:rsidRDefault="00AE517A" w:rsidP="00397F47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AE517A" w:rsidRPr="00270905" w14:paraId="4D9577EC" w14:textId="77777777" w:rsidTr="00397F47">
        <w:tc>
          <w:tcPr>
            <w:tcW w:w="1134" w:type="dxa"/>
          </w:tcPr>
          <w:p w14:paraId="3B2048C7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d.</w:t>
            </w:r>
          </w:p>
        </w:tc>
        <w:tc>
          <w:tcPr>
            <w:tcW w:w="5954" w:type="dxa"/>
          </w:tcPr>
          <w:p w14:paraId="6094CBAA" w14:textId="37A7E82F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AE517A">
              <w:rPr>
                <w:rFonts w:ascii="Arial Narrow" w:eastAsia="Arial Narrow" w:hAnsi="Arial Narrow" w:cs="Arial Narrow"/>
                <w:bCs/>
              </w:rPr>
              <w:t>Eine Referenz betrifft den Bau / Umbau eines LHKM</w:t>
            </w:r>
          </w:p>
        </w:tc>
        <w:tc>
          <w:tcPr>
            <w:tcW w:w="1270" w:type="dxa"/>
          </w:tcPr>
          <w:p w14:paraId="47561CA3" w14:textId="77777777" w:rsidR="00AE517A" w:rsidRPr="00270905" w:rsidRDefault="00AE517A" w:rsidP="00397F47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AE517A" w:rsidRPr="00270905" w14:paraId="003E4DDC" w14:textId="77777777" w:rsidTr="00397F47">
        <w:tc>
          <w:tcPr>
            <w:tcW w:w="1134" w:type="dxa"/>
          </w:tcPr>
          <w:p w14:paraId="7A268959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e.</w:t>
            </w:r>
          </w:p>
        </w:tc>
        <w:tc>
          <w:tcPr>
            <w:tcW w:w="5954" w:type="dxa"/>
          </w:tcPr>
          <w:p w14:paraId="33701BC3" w14:textId="2962873F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AE517A">
              <w:rPr>
                <w:rFonts w:ascii="Arial Narrow" w:eastAsia="Arial Narrow" w:hAnsi="Arial Narrow" w:cs="Arial Narrow"/>
                <w:bCs/>
              </w:rPr>
              <w:t>Eine Referenz betrifft Umbau im Bestand</w:t>
            </w:r>
          </w:p>
        </w:tc>
        <w:tc>
          <w:tcPr>
            <w:tcW w:w="1270" w:type="dxa"/>
          </w:tcPr>
          <w:p w14:paraId="6EE5C833" w14:textId="77777777" w:rsidR="00AE517A" w:rsidRPr="00270905" w:rsidRDefault="00AE517A" w:rsidP="00397F47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AE517A" w:rsidRPr="00270905" w14:paraId="6596FE1E" w14:textId="77777777" w:rsidTr="00397F47">
        <w:tc>
          <w:tcPr>
            <w:tcW w:w="1134" w:type="dxa"/>
          </w:tcPr>
          <w:p w14:paraId="467467EB" w14:textId="42F2A653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eastAsia="Arial Narrow" w:hAnsi="Arial Narrow" w:cs="Arial Narrow"/>
                <w:bCs/>
              </w:rPr>
              <w:t>f.</w:t>
            </w:r>
          </w:p>
        </w:tc>
        <w:tc>
          <w:tcPr>
            <w:tcW w:w="5954" w:type="dxa"/>
          </w:tcPr>
          <w:p w14:paraId="7AC38546" w14:textId="6DE80B5F" w:rsidR="00AE517A" w:rsidRPr="00AE517A" w:rsidRDefault="00AE517A" w:rsidP="00397F47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AE517A">
              <w:rPr>
                <w:rFonts w:ascii="Arial Narrow" w:eastAsia="Arial Narrow" w:hAnsi="Arial Narrow" w:cs="Arial Narrow"/>
                <w:bCs/>
              </w:rPr>
              <w:t>Eine Referenz betrifft Erweiterungsbauten am Krankenhaus</w:t>
            </w:r>
          </w:p>
        </w:tc>
        <w:tc>
          <w:tcPr>
            <w:tcW w:w="1270" w:type="dxa"/>
          </w:tcPr>
          <w:p w14:paraId="39DCC5A4" w14:textId="7A091DF7" w:rsidR="00AE517A" w:rsidRPr="00270905" w:rsidRDefault="00AE517A" w:rsidP="00397F47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AE517A" w:rsidRPr="00270905" w14:paraId="4D1D567A" w14:textId="77777777" w:rsidTr="00397F47">
        <w:tc>
          <w:tcPr>
            <w:tcW w:w="1134" w:type="dxa"/>
          </w:tcPr>
          <w:p w14:paraId="713D91D0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  <w:r w:rsidRPr="00270905">
              <w:rPr>
                <w:rFonts w:ascii="Arial Narrow" w:eastAsia="Arial Narrow" w:hAnsi="Arial Narrow" w:cs="Arial Narrow"/>
                <w:b/>
              </w:rPr>
              <w:t>Gesamt</w:t>
            </w:r>
          </w:p>
        </w:tc>
        <w:tc>
          <w:tcPr>
            <w:tcW w:w="5954" w:type="dxa"/>
          </w:tcPr>
          <w:p w14:paraId="620FCECD" w14:textId="77777777" w:rsidR="00AE517A" w:rsidRPr="00270905" w:rsidRDefault="00AE517A" w:rsidP="00397F47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270" w:type="dxa"/>
          </w:tcPr>
          <w:p w14:paraId="137D6877" w14:textId="158713C9" w:rsidR="00AE517A" w:rsidRPr="00270905" w:rsidRDefault="00AE517A" w:rsidP="00397F47">
            <w:pPr>
              <w:spacing w:before="76"/>
              <w:jc w:val="right"/>
              <w:rPr>
                <w:rFonts w:ascii="Arial Narrow" w:eastAsia="Arial Narrow" w:hAnsi="Arial Narrow" w:cs="Arial Narrow"/>
                <w:b/>
              </w:rPr>
            </w:pPr>
            <w:r w:rsidRPr="00270905">
              <w:rPr>
                <w:rFonts w:ascii="Arial Narrow" w:eastAsia="Arial Narrow" w:hAnsi="Arial Narrow" w:cs="Arial Narrow"/>
                <w:b/>
              </w:rPr>
              <w:t>5</w:t>
            </w:r>
            <w:r>
              <w:rPr>
                <w:rFonts w:ascii="Arial Narrow" w:eastAsia="Arial Narrow" w:hAnsi="Arial Narrow" w:cs="Arial Narrow"/>
                <w:b/>
              </w:rPr>
              <w:t>5</w:t>
            </w:r>
          </w:p>
        </w:tc>
      </w:tr>
      <w:bookmarkEnd w:id="0"/>
    </w:tbl>
    <w:p w14:paraId="710326EE" w14:textId="77777777" w:rsidR="00AE517A" w:rsidRPr="00AE517A" w:rsidRDefault="00AE517A" w:rsidP="00AE517A">
      <w:pPr>
        <w:widowControl w:val="0"/>
        <w:autoSpaceDE w:val="0"/>
        <w:autoSpaceDN w:val="0"/>
        <w:spacing w:before="76" w:after="0" w:line="240" w:lineRule="auto"/>
        <w:ind w:right="138"/>
        <w:jc w:val="both"/>
        <w:rPr>
          <w:rFonts w:ascii="Arial Narrow" w:eastAsia="Arial Narrow" w:hAnsi="Arial Narrow" w:cs="Arial Narrow"/>
          <w:bCs/>
          <w:kern w:val="0"/>
          <w14:ligatures w14:val="none"/>
        </w:rPr>
      </w:pPr>
    </w:p>
    <w:p w14:paraId="6C4D4E7A" w14:textId="77777777" w:rsidR="00C601E0" w:rsidRDefault="00C601E0"/>
    <w:p w14:paraId="52273B05" w14:textId="77777777" w:rsidR="00AE517A" w:rsidRDefault="00AE517A" w:rsidP="00AE517A">
      <w:r>
        <w:t>Die Kriterien werden wie folgt bewertet:</w:t>
      </w:r>
    </w:p>
    <w:p w14:paraId="46100BF4" w14:textId="77777777" w:rsidR="00AE517A" w:rsidRDefault="00AE517A" w:rsidP="00AE517A">
      <w:r>
        <w:t>Kriterium erfüllt</w:t>
      </w:r>
      <w:r>
        <w:tab/>
      </w:r>
      <w:r>
        <w:tab/>
      </w:r>
      <w:r>
        <w:tab/>
        <w:t>=</w:t>
      </w:r>
      <w:r>
        <w:tab/>
        <w:t>volle Punktzahl</w:t>
      </w:r>
    </w:p>
    <w:p w14:paraId="20B5BCE8" w14:textId="70A76103" w:rsidR="00AE517A" w:rsidRDefault="00AE517A" w:rsidP="00AE517A">
      <w:r>
        <w:t>Kriterium nicht oder nicht voll erfüllt</w:t>
      </w:r>
      <w:r>
        <w:tab/>
        <w:t>=</w:t>
      </w:r>
      <w:r>
        <w:tab/>
        <w:t>keine Punkte (0 Punkte)</w:t>
      </w:r>
    </w:p>
    <w:p w14:paraId="4ED66FE1" w14:textId="77777777" w:rsidR="00AE517A" w:rsidRDefault="00AE517A" w:rsidP="00AE517A"/>
    <w:p w14:paraId="0243CA68" w14:textId="77777777" w:rsidR="00AE517A" w:rsidRDefault="00AE517A" w:rsidP="00CB76DF">
      <w:pPr>
        <w:jc w:val="both"/>
      </w:pPr>
      <w:r>
        <w:t>Im Falle der Teilnahme einer Bietergemeinschaft sind die Referenzanforderungen erfüllt, sofern ein Mitglied oder die Mitglieder der Bietergemeinschaft in Summe über die geforderten Referenzprojekte verfügt.</w:t>
      </w:r>
    </w:p>
    <w:p w14:paraId="7DB8B106" w14:textId="77777777" w:rsidR="00AE517A" w:rsidRDefault="00AE517A" w:rsidP="00AE517A"/>
    <w:p w14:paraId="18AB5EEE" w14:textId="77777777" w:rsidR="00AE517A" w:rsidRDefault="00AE517A" w:rsidP="00AE517A"/>
    <w:p w14:paraId="1DAEAE48" w14:textId="01658D88" w:rsidR="00AE517A" w:rsidRDefault="00AE517A" w:rsidP="00AE517A">
      <w:r>
        <w:t>Für die Wertungsfähigkeit der Referenzen müssen jeweils folgende Unterangaben vorhanden sein:</w:t>
      </w:r>
    </w:p>
    <w:p w14:paraId="5160BBCC" w14:textId="7BBEC550" w:rsidR="00AE517A" w:rsidRDefault="00AE517A" w:rsidP="00AE517A">
      <w:pPr>
        <w:pStyle w:val="Listenabsatz"/>
        <w:numPr>
          <w:ilvl w:val="0"/>
          <w:numId w:val="4"/>
        </w:numPr>
      </w:pPr>
      <w:r>
        <w:t>Benennung des Auftraggebers mit Ansprechpartner und Telefonnummer</w:t>
      </w:r>
    </w:p>
    <w:p w14:paraId="0711716E" w14:textId="50C8CA1D" w:rsidR="00AE517A" w:rsidRDefault="00AE517A" w:rsidP="00AE517A">
      <w:pPr>
        <w:pStyle w:val="Listenabsatz"/>
        <w:numPr>
          <w:ilvl w:val="0"/>
          <w:numId w:val="4"/>
        </w:numPr>
      </w:pPr>
      <w:r>
        <w:t>Leistungsphasen</w:t>
      </w:r>
    </w:p>
    <w:p w14:paraId="43394727" w14:textId="6E7E8287" w:rsidR="00AE517A" w:rsidRDefault="00AE517A" w:rsidP="00AE517A">
      <w:pPr>
        <w:pStyle w:val="Listenabsatz"/>
        <w:numPr>
          <w:ilvl w:val="0"/>
          <w:numId w:val="4"/>
        </w:numPr>
      </w:pPr>
      <w:r>
        <w:t>Ausführungsjahr</w:t>
      </w:r>
    </w:p>
    <w:p w14:paraId="076B73DF" w14:textId="449D71B4" w:rsidR="00AE517A" w:rsidRDefault="00AE517A" w:rsidP="00AE517A">
      <w:pPr>
        <w:pStyle w:val="Listenabsatz"/>
        <w:numPr>
          <w:ilvl w:val="0"/>
          <w:numId w:val="4"/>
        </w:numPr>
      </w:pPr>
      <w:r>
        <w:t>Fertigstellung</w:t>
      </w:r>
    </w:p>
    <w:p w14:paraId="4048D72D" w14:textId="7EFECF2D" w:rsidR="00AE517A" w:rsidRDefault="00AE517A" w:rsidP="00AE517A">
      <w:pPr>
        <w:pStyle w:val="Listenabsatz"/>
        <w:numPr>
          <w:ilvl w:val="0"/>
          <w:numId w:val="4"/>
        </w:numPr>
      </w:pPr>
      <w:r>
        <w:t>Baukosten nach DIN 276 (KG 300 und 400) brutto</w:t>
      </w:r>
    </w:p>
    <w:p w14:paraId="4573B6C9" w14:textId="46F3ABCB" w:rsidR="00AE517A" w:rsidRDefault="00AE517A" w:rsidP="00AE517A">
      <w:pPr>
        <w:pStyle w:val="Listenabsatz"/>
        <w:numPr>
          <w:ilvl w:val="0"/>
          <w:numId w:val="4"/>
        </w:numPr>
      </w:pPr>
      <w:r>
        <w:t>Textliche Kurzbeschreibung</w:t>
      </w:r>
    </w:p>
    <w:p w14:paraId="033803E8" w14:textId="1B114265" w:rsidR="00AE517A" w:rsidRDefault="00AE517A" w:rsidP="00AE517A">
      <w:pPr>
        <w:pStyle w:val="Listenabsatz"/>
        <w:numPr>
          <w:ilvl w:val="0"/>
          <w:numId w:val="4"/>
        </w:numPr>
      </w:pPr>
      <w:r>
        <w:t>Visualisierung (z.B. Fotos)</w:t>
      </w:r>
    </w:p>
    <w:p w14:paraId="16FA8851" w14:textId="77777777" w:rsidR="00AE517A" w:rsidRDefault="00AE517A" w:rsidP="00AE517A"/>
    <w:p w14:paraId="1D0A619A" w14:textId="2FF34F4F" w:rsidR="00AE517A" w:rsidRDefault="00AE517A" w:rsidP="00CB76DF">
      <w:pPr>
        <w:jc w:val="both"/>
      </w:pPr>
      <w:r>
        <w:t>Die Referenzen müssen darüber hinaus mindestens Angaben enthalten, ob sie als Hauptunternehmer, Bietergemeinschaft oder Nachunternehmer erbracht worden sind.</w:t>
      </w:r>
    </w:p>
    <w:p w14:paraId="1FFB8BC8" w14:textId="5A438583" w:rsidR="00AE517A" w:rsidRDefault="00AE517A" w:rsidP="00CB76DF">
      <w:pPr>
        <w:jc w:val="both"/>
      </w:pPr>
      <w:r>
        <w:t>Die Referenzen dienen neben den Ausschlusskriterien als Auswahlkriterien zur Reduzierung der Bewerberzahl auf 3 Bewerber, die zur Abgabe eines Erstangebotes aufgefordert werden.</w:t>
      </w:r>
    </w:p>
    <w:p w14:paraId="6A99424F" w14:textId="102E4AE8" w:rsidR="00AE517A" w:rsidRDefault="00AE517A" w:rsidP="00CB76DF">
      <w:pPr>
        <w:jc w:val="both"/>
      </w:pPr>
      <w:r>
        <w:t>Der Bewerber kann über die Referenzen maximal 55 Punkte erreichen. Bei Gleichstand entscheidet das Los.</w:t>
      </w:r>
    </w:p>
    <w:sectPr w:rsidR="00AE51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2D6"/>
    <w:multiLevelType w:val="hybridMultilevel"/>
    <w:tmpl w:val="93C8F4F4"/>
    <w:lvl w:ilvl="0" w:tplc="443C269C">
      <w:start w:val="3"/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E406C"/>
    <w:multiLevelType w:val="hybridMultilevel"/>
    <w:tmpl w:val="9C96B6D0"/>
    <w:lvl w:ilvl="0" w:tplc="8EC8007A">
      <w:start w:val="1"/>
      <w:numFmt w:val="lowerLetter"/>
      <w:lvlText w:val="%1."/>
      <w:lvlJc w:val="left"/>
      <w:pPr>
        <w:ind w:left="705" w:hanging="56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1FF0627"/>
    <w:multiLevelType w:val="hybridMultilevel"/>
    <w:tmpl w:val="508A5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34207"/>
    <w:multiLevelType w:val="hybridMultilevel"/>
    <w:tmpl w:val="9BE06EFC"/>
    <w:lvl w:ilvl="0" w:tplc="04070019">
      <w:start w:val="1"/>
      <w:numFmt w:val="lowerLetter"/>
      <w:lvlText w:val="%1."/>
      <w:lvlJc w:val="left"/>
      <w:pPr>
        <w:ind w:left="861" w:hanging="360"/>
      </w:pPr>
    </w:lvl>
    <w:lvl w:ilvl="1" w:tplc="04070019" w:tentative="1">
      <w:start w:val="1"/>
      <w:numFmt w:val="lowerLetter"/>
      <w:lvlText w:val="%2."/>
      <w:lvlJc w:val="left"/>
      <w:pPr>
        <w:ind w:left="1581" w:hanging="360"/>
      </w:pPr>
    </w:lvl>
    <w:lvl w:ilvl="2" w:tplc="0407001B" w:tentative="1">
      <w:start w:val="1"/>
      <w:numFmt w:val="lowerRoman"/>
      <w:lvlText w:val="%3."/>
      <w:lvlJc w:val="right"/>
      <w:pPr>
        <w:ind w:left="2301" w:hanging="180"/>
      </w:pPr>
    </w:lvl>
    <w:lvl w:ilvl="3" w:tplc="0407000F" w:tentative="1">
      <w:start w:val="1"/>
      <w:numFmt w:val="decimal"/>
      <w:lvlText w:val="%4."/>
      <w:lvlJc w:val="left"/>
      <w:pPr>
        <w:ind w:left="3021" w:hanging="360"/>
      </w:pPr>
    </w:lvl>
    <w:lvl w:ilvl="4" w:tplc="04070019" w:tentative="1">
      <w:start w:val="1"/>
      <w:numFmt w:val="lowerLetter"/>
      <w:lvlText w:val="%5."/>
      <w:lvlJc w:val="left"/>
      <w:pPr>
        <w:ind w:left="3741" w:hanging="360"/>
      </w:pPr>
    </w:lvl>
    <w:lvl w:ilvl="5" w:tplc="0407001B" w:tentative="1">
      <w:start w:val="1"/>
      <w:numFmt w:val="lowerRoman"/>
      <w:lvlText w:val="%6."/>
      <w:lvlJc w:val="right"/>
      <w:pPr>
        <w:ind w:left="4461" w:hanging="180"/>
      </w:pPr>
    </w:lvl>
    <w:lvl w:ilvl="6" w:tplc="0407000F" w:tentative="1">
      <w:start w:val="1"/>
      <w:numFmt w:val="decimal"/>
      <w:lvlText w:val="%7."/>
      <w:lvlJc w:val="left"/>
      <w:pPr>
        <w:ind w:left="5181" w:hanging="360"/>
      </w:pPr>
    </w:lvl>
    <w:lvl w:ilvl="7" w:tplc="04070019" w:tentative="1">
      <w:start w:val="1"/>
      <w:numFmt w:val="lowerLetter"/>
      <w:lvlText w:val="%8."/>
      <w:lvlJc w:val="left"/>
      <w:pPr>
        <w:ind w:left="5901" w:hanging="360"/>
      </w:pPr>
    </w:lvl>
    <w:lvl w:ilvl="8" w:tplc="0407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833450498">
    <w:abstractNumId w:val="3"/>
  </w:num>
  <w:num w:numId="2" w16cid:durableId="1341854685">
    <w:abstractNumId w:val="1"/>
  </w:num>
  <w:num w:numId="3" w16cid:durableId="474029672">
    <w:abstractNumId w:val="2"/>
  </w:num>
  <w:num w:numId="4" w16cid:durableId="8395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7A"/>
    <w:rsid w:val="000B3B90"/>
    <w:rsid w:val="00393F7D"/>
    <w:rsid w:val="003F71F4"/>
    <w:rsid w:val="00684408"/>
    <w:rsid w:val="0085619F"/>
    <w:rsid w:val="00AE517A"/>
    <w:rsid w:val="00C601E0"/>
    <w:rsid w:val="00C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1EDE"/>
  <w15:chartTrackingRefBased/>
  <w15:docId w15:val="{CD7B8432-8CE3-474C-B407-A6E777CD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51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51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51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51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51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517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517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51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51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51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51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51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51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517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51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517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517A"/>
    <w:rPr>
      <w:b/>
      <w:bCs/>
      <w:smallCaps/>
      <w:color w:val="2E74B5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AE51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AE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Kellerhoff Fabian</dc:creator>
  <cp:keywords/>
  <dc:description/>
  <cp:lastModifiedBy>Kellerhoff Fabian</cp:lastModifiedBy>
  <cp:revision>3</cp:revision>
  <dcterms:created xsi:type="dcterms:W3CDTF">2026-01-22T08:41:00Z</dcterms:created>
  <dcterms:modified xsi:type="dcterms:W3CDTF">2026-02-02T15:07:00Z</dcterms:modified>
</cp:coreProperties>
</file>