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510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BLBNRW/BB/K/Hardthöhe Bonn/Geb. 200-204/Sanierungsstudie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